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FB80" w14:textId="7862181B" w:rsidR="009E1399" w:rsidRDefault="008F1098" w:rsidP="006E0B88">
      <w:r>
        <w:t>« </w:t>
      </w:r>
      <w:r w:rsidR="00A751C6">
        <w:rPr>
          <w:noProof/>
        </w:rPr>
        <w:drawing>
          <wp:inline distT="0" distB="0" distL="0" distR="0" wp14:anchorId="3E6947AF" wp14:editId="2C57D0B7">
            <wp:extent cx="5783138" cy="1638300"/>
            <wp:effectExtent l="0" t="0" r="8255" b="0"/>
            <wp:docPr id="105153404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34049" name="Image 1" descr="Une image contenant texte, Police, Graphique, logo&#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817781" cy="1648114"/>
                    </a:xfrm>
                    <a:prstGeom prst="rect">
                      <a:avLst/>
                    </a:prstGeom>
                  </pic:spPr>
                </pic:pic>
              </a:graphicData>
            </a:graphic>
          </wp:inline>
        </w:drawing>
      </w:r>
    </w:p>
    <w:p w14:paraId="7DC72281" w14:textId="77777777" w:rsidR="00CC1940" w:rsidRDefault="00CC1940"/>
    <w:p w14:paraId="05731CFA" w14:textId="77777777" w:rsidR="006E0B88" w:rsidRDefault="006E0B88"/>
    <w:p w14:paraId="0A232FEF" w14:textId="6124AF45" w:rsidR="00CC1940" w:rsidRDefault="00424F4A" w:rsidP="00492512">
      <w:pPr>
        <w:jc w:val="center"/>
        <w:rPr>
          <w:rFonts w:ascii="Arial" w:hAnsi="Arial" w:cs="Arial"/>
          <w:b/>
          <w:sz w:val="48"/>
          <w:szCs w:val="48"/>
        </w:rPr>
      </w:pPr>
      <w:r w:rsidRPr="00026FC0">
        <w:rPr>
          <w:rFonts w:ascii="Arial" w:hAnsi="Arial" w:cs="Arial"/>
          <w:b/>
          <w:sz w:val="48"/>
          <w:szCs w:val="48"/>
        </w:rPr>
        <w:t>COMMUNIQUE</w:t>
      </w:r>
      <w:r w:rsidR="0008502D" w:rsidRPr="00026FC0">
        <w:rPr>
          <w:rFonts w:ascii="Arial" w:hAnsi="Arial" w:cs="Arial"/>
          <w:b/>
          <w:sz w:val="48"/>
          <w:szCs w:val="48"/>
        </w:rPr>
        <w:t xml:space="preserve"> DE PRESSE</w:t>
      </w:r>
    </w:p>
    <w:p w14:paraId="1674E975" w14:textId="77777777" w:rsidR="006E0B88" w:rsidRPr="00026FC0" w:rsidRDefault="006E0B88" w:rsidP="00492512">
      <w:pPr>
        <w:jc w:val="center"/>
        <w:rPr>
          <w:rFonts w:ascii="Arial" w:hAnsi="Arial" w:cs="Arial"/>
          <w:b/>
          <w:sz w:val="48"/>
          <w:szCs w:val="48"/>
        </w:rPr>
      </w:pPr>
    </w:p>
    <w:p w14:paraId="013B526C" w14:textId="0744AD88" w:rsidR="00202498" w:rsidRPr="00026FC0" w:rsidRDefault="00202498" w:rsidP="005A5B9F">
      <w:pPr>
        <w:jc w:val="center"/>
        <w:rPr>
          <w:rFonts w:ascii="Arial" w:hAnsi="Arial" w:cs="Arial"/>
          <w:b/>
          <w:bCs/>
          <w:sz w:val="36"/>
          <w:szCs w:val="36"/>
        </w:rPr>
      </w:pPr>
      <w:r w:rsidRPr="00026FC0">
        <w:rPr>
          <w:rFonts w:ascii="Arial" w:hAnsi="Arial" w:cs="Arial"/>
          <w:b/>
          <w:bCs/>
          <w:sz w:val="36"/>
          <w:szCs w:val="36"/>
        </w:rPr>
        <w:t>PLF 2025</w:t>
      </w:r>
      <w:r w:rsidR="00060600" w:rsidRPr="00026FC0">
        <w:rPr>
          <w:rFonts w:ascii="Arial" w:hAnsi="Arial" w:cs="Arial"/>
          <w:b/>
          <w:bCs/>
          <w:sz w:val="36"/>
          <w:szCs w:val="36"/>
        </w:rPr>
        <w:t> </w:t>
      </w:r>
      <w:r w:rsidR="00827545" w:rsidRPr="00026FC0">
        <w:rPr>
          <w:rFonts w:ascii="Arial" w:hAnsi="Arial" w:cs="Arial"/>
          <w:b/>
          <w:bCs/>
          <w:sz w:val="36"/>
          <w:szCs w:val="36"/>
        </w:rPr>
        <w:t xml:space="preserve">et </w:t>
      </w:r>
      <w:r w:rsidRPr="00026FC0">
        <w:rPr>
          <w:rFonts w:ascii="Arial" w:hAnsi="Arial" w:cs="Arial"/>
          <w:b/>
          <w:bCs/>
          <w:sz w:val="36"/>
          <w:szCs w:val="36"/>
        </w:rPr>
        <w:t>abaissement du seuil de TVA</w:t>
      </w:r>
      <w:r w:rsidR="00441581" w:rsidRPr="00026FC0">
        <w:rPr>
          <w:rFonts w:ascii="Arial" w:hAnsi="Arial" w:cs="Arial"/>
          <w:b/>
          <w:bCs/>
          <w:sz w:val="36"/>
          <w:szCs w:val="36"/>
        </w:rPr>
        <w:t xml:space="preserve"> : </w:t>
      </w:r>
      <w:r w:rsidR="00B03B81" w:rsidRPr="00026FC0">
        <w:rPr>
          <w:rFonts w:ascii="Arial" w:hAnsi="Arial" w:cs="Arial"/>
          <w:b/>
          <w:bCs/>
          <w:sz w:val="36"/>
          <w:szCs w:val="36"/>
        </w:rPr>
        <w:t xml:space="preserve">Non, il n’y a pas de concurrence </w:t>
      </w:r>
      <w:r w:rsidR="00AF32EC">
        <w:rPr>
          <w:rFonts w:ascii="Arial" w:hAnsi="Arial" w:cs="Arial"/>
          <w:b/>
          <w:bCs/>
          <w:sz w:val="36"/>
          <w:szCs w:val="36"/>
        </w:rPr>
        <w:t>déloyale</w:t>
      </w:r>
      <w:r w:rsidR="00B03B81" w:rsidRPr="00026FC0">
        <w:rPr>
          <w:rFonts w:ascii="Arial" w:hAnsi="Arial" w:cs="Arial"/>
          <w:b/>
          <w:bCs/>
          <w:sz w:val="36"/>
          <w:szCs w:val="36"/>
        </w:rPr>
        <w:t> entre les entreprises</w:t>
      </w:r>
      <w:r w:rsidR="003B7399" w:rsidRPr="00026FC0">
        <w:rPr>
          <w:rFonts w:ascii="Arial" w:hAnsi="Arial" w:cs="Arial"/>
          <w:b/>
          <w:bCs/>
          <w:sz w:val="36"/>
          <w:szCs w:val="36"/>
        </w:rPr>
        <w:t xml:space="preserve"> </w:t>
      </w:r>
      <w:r w:rsidR="00B03B81" w:rsidRPr="00026FC0">
        <w:rPr>
          <w:rFonts w:ascii="Arial" w:hAnsi="Arial" w:cs="Arial"/>
          <w:b/>
          <w:bCs/>
          <w:sz w:val="36"/>
          <w:szCs w:val="36"/>
        </w:rPr>
        <w:t>et les ar</w:t>
      </w:r>
      <w:r w:rsidR="005A5B9F" w:rsidRPr="00026FC0">
        <w:rPr>
          <w:rFonts w:ascii="Arial" w:hAnsi="Arial" w:cs="Arial"/>
          <w:b/>
          <w:bCs/>
          <w:sz w:val="36"/>
          <w:szCs w:val="36"/>
        </w:rPr>
        <w:t>t</w:t>
      </w:r>
      <w:r w:rsidR="00827545" w:rsidRPr="00026FC0">
        <w:rPr>
          <w:rFonts w:ascii="Arial" w:hAnsi="Arial" w:cs="Arial"/>
          <w:b/>
          <w:bCs/>
          <w:sz w:val="36"/>
          <w:szCs w:val="36"/>
        </w:rPr>
        <w:t>istes-auteurs</w:t>
      </w:r>
      <w:r w:rsidR="005A5B9F" w:rsidRPr="00026FC0">
        <w:rPr>
          <w:rFonts w:ascii="Arial" w:hAnsi="Arial" w:cs="Arial"/>
          <w:b/>
          <w:bCs/>
          <w:sz w:val="36"/>
          <w:szCs w:val="36"/>
        </w:rPr>
        <w:t> !</w:t>
      </w:r>
    </w:p>
    <w:p w14:paraId="2B578A33" w14:textId="77777777" w:rsidR="000F79E8" w:rsidRPr="00026FC0" w:rsidRDefault="000F79E8" w:rsidP="000F79E8">
      <w:pPr>
        <w:jc w:val="center"/>
        <w:rPr>
          <w:rFonts w:ascii="Arial" w:hAnsi="Arial" w:cs="Arial"/>
          <w:b/>
          <w:bCs/>
        </w:rPr>
      </w:pPr>
    </w:p>
    <w:p w14:paraId="4743E99C" w14:textId="3C8597FD" w:rsidR="00D10A83" w:rsidRPr="00026FC0" w:rsidRDefault="000F79E8" w:rsidP="000F79E8">
      <w:pPr>
        <w:jc w:val="center"/>
        <w:rPr>
          <w:rFonts w:ascii="Arial" w:hAnsi="Arial" w:cs="Arial"/>
          <w:b/>
          <w:bCs/>
          <w:sz w:val="28"/>
          <w:szCs w:val="28"/>
        </w:rPr>
      </w:pPr>
      <w:r w:rsidRPr="00026FC0">
        <w:rPr>
          <w:rFonts w:ascii="Arial" w:hAnsi="Arial" w:cs="Arial"/>
          <w:b/>
          <w:bCs/>
          <w:sz w:val="28"/>
          <w:szCs w:val="28"/>
        </w:rPr>
        <w:t xml:space="preserve">Le SMDA-CFDT </w:t>
      </w:r>
      <w:r w:rsidR="008A2B7C" w:rsidRPr="00026FC0">
        <w:rPr>
          <w:rFonts w:ascii="Arial" w:hAnsi="Arial" w:cs="Arial"/>
          <w:b/>
          <w:bCs/>
          <w:sz w:val="28"/>
          <w:szCs w:val="28"/>
        </w:rPr>
        <w:t xml:space="preserve">et La Maison des Artistes </w:t>
      </w:r>
      <w:r w:rsidRPr="00026FC0">
        <w:rPr>
          <w:rFonts w:ascii="Arial" w:hAnsi="Arial" w:cs="Arial"/>
          <w:b/>
          <w:bCs/>
          <w:sz w:val="28"/>
          <w:szCs w:val="28"/>
        </w:rPr>
        <w:t>appelle</w:t>
      </w:r>
      <w:r w:rsidR="008A2B7C" w:rsidRPr="00026FC0">
        <w:rPr>
          <w:rFonts w:ascii="Arial" w:hAnsi="Arial" w:cs="Arial"/>
          <w:b/>
          <w:bCs/>
          <w:sz w:val="28"/>
          <w:szCs w:val="28"/>
        </w:rPr>
        <w:t>nt</w:t>
      </w:r>
      <w:r w:rsidRPr="00026FC0">
        <w:rPr>
          <w:rFonts w:ascii="Arial" w:hAnsi="Arial" w:cs="Arial"/>
          <w:b/>
          <w:bCs/>
          <w:sz w:val="28"/>
          <w:szCs w:val="28"/>
        </w:rPr>
        <w:t xml:space="preserve"> </w:t>
      </w:r>
      <w:r w:rsidR="0036788A" w:rsidRPr="00026FC0">
        <w:rPr>
          <w:rFonts w:ascii="Arial" w:hAnsi="Arial" w:cs="Arial"/>
          <w:b/>
          <w:bCs/>
          <w:sz w:val="28"/>
          <w:szCs w:val="28"/>
        </w:rPr>
        <w:t>urgemment</w:t>
      </w:r>
      <w:r w:rsidR="00827545" w:rsidRPr="00026FC0">
        <w:rPr>
          <w:rFonts w:ascii="Arial" w:hAnsi="Arial" w:cs="Arial"/>
          <w:b/>
          <w:bCs/>
          <w:sz w:val="28"/>
          <w:szCs w:val="28"/>
        </w:rPr>
        <w:t xml:space="preserve"> </w:t>
      </w:r>
      <w:r w:rsidRPr="00026FC0">
        <w:rPr>
          <w:rFonts w:ascii="Arial" w:hAnsi="Arial" w:cs="Arial"/>
          <w:b/>
          <w:bCs/>
          <w:sz w:val="28"/>
          <w:szCs w:val="28"/>
        </w:rPr>
        <w:t xml:space="preserve">à </w:t>
      </w:r>
      <w:r w:rsidR="003B7399" w:rsidRPr="00026FC0">
        <w:rPr>
          <w:rFonts w:ascii="Arial" w:hAnsi="Arial" w:cs="Arial"/>
          <w:b/>
          <w:bCs/>
          <w:sz w:val="28"/>
          <w:szCs w:val="28"/>
        </w:rPr>
        <w:t xml:space="preserve">la </w:t>
      </w:r>
      <w:r w:rsidR="008A2B7C" w:rsidRPr="00026FC0">
        <w:rPr>
          <w:rFonts w:ascii="Arial" w:hAnsi="Arial" w:cs="Arial"/>
          <w:b/>
          <w:bCs/>
          <w:sz w:val="28"/>
          <w:szCs w:val="28"/>
        </w:rPr>
        <w:t>« </w:t>
      </w:r>
      <w:r w:rsidR="003B7399" w:rsidRPr="00026FC0">
        <w:rPr>
          <w:rFonts w:ascii="Arial" w:hAnsi="Arial" w:cs="Arial"/>
          <w:b/>
          <w:bCs/>
          <w:sz w:val="28"/>
          <w:szCs w:val="28"/>
        </w:rPr>
        <w:t>sortie</w:t>
      </w:r>
      <w:r w:rsidR="008A2B7C" w:rsidRPr="00026FC0">
        <w:rPr>
          <w:rFonts w:ascii="Arial" w:hAnsi="Arial" w:cs="Arial"/>
          <w:b/>
          <w:bCs/>
          <w:sz w:val="28"/>
          <w:szCs w:val="28"/>
        </w:rPr>
        <w:t> »</w:t>
      </w:r>
      <w:r w:rsidR="003B7399" w:rsidRPr="00026FC0">
        <w:rPr>
          <w:rFonts w:ascii="Arial" w:hAnsi="Arial" w:cs="Arial"/>
          <w:b/>
          <w:bCs/>
          <w:sz w:val="28"/>
          <w:szCs w:val="28"/>
        </w:rPr>
        <w:t xml:space="preserve"> des artistes-auteurs de la mesure</w:t>
      </w:r>
      <w:r w:rsidRPr="00026FC0">
        <w:rPr>
          <w:rFonts w:ascii="Arial" w:hAnsi="Arial" w:cs="Arial"/>
          <w:b/>
          <w:bCs/>
          <w:sz w:val="28"/>
          <w:szCs w:val="28"/>
        </w:rPr>
        <w:t xml:space="preserve"> </w:t>
      </w:r>
      <w:r w:rsidR="009B1014">
        <w:rPr>
          <w:rFonts w:ascii="Arial" w:hAnsi="Arial" w:cs="Arial"/>
          <w:b/>
          <w:bCs/>
          <w:sz w:val="28"/>
          <w:szCs w:val="28"/>
        </w:rPr>
        <w:t xml:space="preserve">d’abaissement des seuils de </w:t>
      </w:r>
      <w:r w:rsidR="0036788A" w:rsidRPr="00026FC0">
        <w:rPr>
          <w:rFonts w:ascii="Arial" w:hAnsi="Arial" w:cs="Arial"/>
          <w:b/>
          <w:bCs/>
          <w:sz w:val="28"/>
          <w:szCs w:val="28"/>
        </w:rPr>
        <w:t xml:space="preserve">TVA </w:t>
      </w:r>
    </w:p>
    <w:p w14:paraId="47C364AC" w14:textId="77777777" w:rsidR="00D10A83" w:rsidRDefault="00D10A83" w:rsidP="000F79E8">
      <w:pPr>
        <w:jc w:val="center"/>
        <w:rPr>
          <w:rFonts w:ascii="Arial" w:hAnsi="Arial" w:cs="Arial"/>
          <w:b/>
          <w:bCs/>
          <w:sz w:val="28"/>
          <w:szCs w:val="28"/>
        </w:rPr>
      </w:pPr>
    </w:p>
    <w:p w14:paraId="6789717F" w14:textId="42A2F62C" w:rsidR="00453566" w:rsidRDefault="005777EE" w:rsidP="006E0B88">
      <w:pPr>
        <w:spacing w:line="360" w:lineRule="auto"/>
        <w:jc w:val="both"/>
        <w:rPr>
          <w:rFonts w:ascii="Arial" w:hAnsi="Arial" w:cs="Arial"/>
        </w:rPr>
      </w:pPr>
      <w:r w:rsidRPr="00AB495D">
        <w:rPr>
          <w:rFonts w:ascii="Arial" w:hAnsi="Arial" w:cs="Arial"/>
        </w:rPr>
        <w:t xml:space="preserve">Le </w:t>
      </w:r>
      <w:r w:rsidR="0049750A">
        <w:rPr>
          <w:rFonts w:ascii="Arial" w:hAnsi="Arial" w:cs="Arial"/>
        </w:rPr>
        <w:t xml:space="preserve">syndicat </w:t>
      </w:r>
      <w:r w:rsidRPr="00AB495D">
        <w:rPr>
          <w:rFonts w:ascii="Arial" w:hAnsi="Arial" w:cs="Arial"/>
        </w:rPr>
        <w:t xml:space="preserve">SMDA CFDT et La Maison des Artistes appellent </w:t>
      </w:r>
      <w:r w:rsidR="00F41ED7">
        <w:rPr>
          <w:rFonts w:ascii="Arial" w:hAnsi="Arial" w:cs="Arial"/>
        </w:rPr>
        <w:t xml:space="preserve">à </w:t>
      </w:r>
      <w:r w:rsidR="00824C94">
        <w:rPr>
          <w:rFonts w:ascii="Arial" w:hAnsi="Arial" w:cs="Arial"/>
        </w:rPr>
        <w:t>faire sortir les artistes</w:t>
      </w:r>
      <w:r w:rsidR="00E5525F">
        <w:rPr>
          <w:rFonts w:ascii="Arial" w:hAnsi="Arial" w:cs="Arial"/>
        </w:rPr>
        <w:t>-auteurs</w:t>
      </w:r>
      <w:r w:rsidR="00824C94">
        <w:rPr>
          <w:rFonts w:ascii="Arial" w:hAnsi="Arial" w:cs="Arial"/>
        </w:rPr>
        <w:t xml:space="preserve"> </w:t>
      </w:r>
      <w:r w:rsidR="0045076B">
        <w:rPr>
          <w:rFonts w:ascii="Arial" w:hAnsi="Arial" w:cs="Arial"/>
        </w:rPr>
        <w:t xml:space="preserve">du projet de modification de l’art. </w:t>
      </w:r>
      <w:r w:rsidR="00453566">
        <w:rPr>
          <w:rFonts w:ascii="Arial" w:hAnsi="Arial" w:cs="Arial"/>
        </w:rPr>
        <w:t>293b du CGI</w:t>
      </w:r>
      <w:r w:rsidR="0049750A">
        <w:rPr>
          <w:rFonts w:ascii="Arial" w:hAnsi="Arial" w:cs="Arial"/>
        </w:rPr>
        <w:t xml:space="preserve"> et à </w:t>
      </w:r>
      <w:r w:rsidR="00453566">
        <w:rPr>
          <w:rFonts w:ascii="Arial" w:hAnsi="Arial" w:cs="Arial"/>
        </w:rPr>
        <w:t xml:space="preserve">réintégrer les seuils en vigueur </w:t>
      </w:r>
      <w:r w:rsidR="00677959">
        <w:rPr>
          <w:rFonts w:ascii="Arial" w:hAnsi="Arial" w:cs="Arial"/>
        </w:rPr>
        <w:t>au 1</w:t>
      </w:r>
      <w:r w:rsidR="00677959" w:rsidRPr="00677959">
        <w:rPr>
          <w:rFonts w:ascii="Arial" w:hAnsi="Arial" w:cs="Arial"/>
          <w:vertAlign w:val="superscript"/>
        </w:rPr>
        <w:t>er</w:t>
      </w:r>
      <w:r w:rsidR="00677959">
        <w:rPr>
          <w:rFonts w:ascii="Arial" w:hAnsi="Arial" w:cs="Arial"/>
        </w:rPr>
        <w:t xml:space="preserve"> janvier 2025</w:t>
      </w:r>
      <w:r w:rsidR="00E91D67">
        <w:rPr>
          <w:rFonts w:ascii="Arial" w:hAnsi="Arial" w:cs="Arial"/>
        </w:rPr>
        <w:t>, ou à défaut 2024</w:t>
      </w:r>
      <w:r w:rsidR="0049750A">
        <w:rPr>
          <w:rFonts w:ascii="Arial" w:hAnsi="Arial" w:cs="Arial"/>
        </w:rPr>
        <w:t xml:space="preserve">. </w:t>
      </w:r>
    </w:p>
    <w:p w14:paraId="68A38CD9" w14:textId="43848FF8" w:rsidR="00E05A3A" w:rsidRDefault="0083327F" w:rsidP="006E0B88">
      <w:pPr>
        <w:spacing w:line="360" w:lineRule="auto"/>
        <w:jc w:val="both"/>
        <w:rPr>
          <w:rFonts w:ascii="Arial" w:hAnsi="Arial" w:cs="Arial"/>
        </w:rPr>
      </w:pPr>
      <w:r>
        <w:rPr>
          <w:rFonts w:ascii="Arial" w:hAnsi="Arial" w:cs="Arial"/>
        </w:rPr>
        <w:t>C</w:t>
      </w:r>
      <w:r w:rsidR="00E05A3A" w:rsidRPr="00441581">
        <w:rPr>
          <w:rFonts w:ascii="Arial" w:hAnsi="Arial" w:cs="Arial"/>
        </w:rPr>
        <w:t>omme nous le précisions dans notre précédent communiqué de presse</w:t>
      </w:r>
      <w:r w:rsidR="00E05A3A">
        <w:rPr>
          <w:rFonts w:ascii="Arial" w:hAnsi="Arial" w:cs="Arial"/>
        </w:rPr>
        <w:t xml:space="preserve"> du 6 février 2025</w:t>
      </w:r>
      <w:r w:rsidR="00E05A3A" w:rsidRPr="00441581">
        <w:rPr>
          <w:rFonts w:ascii="Arial" w:hAnsi="Arial" w:cs="Arial"/>
        </w:rPr>
        <w:t>, cette modification soudaine et non concertée de l’article 293b venait entériner la disparition des seuils de TVA spécifiques aux artistes-auteurs (respectivement 50 000 € et 35 000 € au 1</w:t>
      </w:r>
      <w:r w:rsidR="00E05A3A" w:rsidRPr="00441581">
        <w:rPr>
          <w:rFonts w:ascii="Arial" w:hAnsi="Arial" w:cs="Arial"/>
          <w:vertAlign w:val="superscript"/>
        </w:rPr>
        <w:t>er</w:t>
      </w:r>
      <w:r w:rsidR="00E05A3A" w:rsidRPr="00441581">
        <w:rPr>
          <w:rFonts w:ascii="Arial" w:hAnsi="Arial" w:cs="Arial"/>
        </w:rPr>
        <w:t xml:space="preserve"> janvier 2025 pour l’année civil précédente), pour l</w:t>
      </w:r>
      <w:r w:rsidR="008221FB">
        <w:rPr>
          <w:rFonts w:ascii="Arial" w:hAnsi="Arial" w:cs="Arial"/>
        </w:rPr>
        <w:t xml:space="preserve">es </w:t>
      </w:r>
      <w:r w:rsidR="00E05A3A" w:rsidRPr="00441581">
        <w:rPr>
          <w:rFonts w:ascii="Arial" w:hAnsi="Arial" w:cs="Arial"/>
        </w:rPr>
        <w:t>uniformiser à 25 000 €</w:t>
      </w:r>
      <w:r w:rsidR="00E05A3A">
        <w:rPr>
          <w:rFonts w:ascii="Arial" w:hAnsi="Arial" w:cs="Arial"/>
        </w:rPr>
        <w:t xml:space="preserve"> sans distinction, créant une situation inacceptable et contre-productive à tous points de vue pour les artistes-auteurs</w:t>
      </w:r>
      <w:r w:rsidR="0034284E">
        <w:rPr>
          <w:rFonts w:ascii="Arial" w:hAnsi="Arial" w:cs="Arial"/>
        </w:rPr>
        <w:t xml:space="preserve"> (</w:t>
      </w:r>
      <w:r w:rsidR="00EB065C">
        <w:rPr>
          <w:rFonts w:ascii="Arial" w:hAnsi="Arial" w:cs="Arial"/>
        </w:rPr>
        <w:t>charge administrative supplémentaire éloigna</w:t>
      </w:r>
      <w:r w:rsidR="00EA32C7">
        <w:rPr>
          <w:rFonts w:ascii="Arial" w:hAnsi="Arial" w:cs="Arial"/>
        </w:rPr>
        <w:t>n</w:t>
      </w:r>
      <w:r w:rsidR="00EB065C">
        <w:rPr>
          <w:rFonts w:ascii="Arial" w:hAnsi="Arial" w:cs="Arial"/>
        </w:rPr>
        <w:t xml:space="preserve">t de la création, augmentation mécanique des prix de vente des œuvres et autres activités, ou </w:t>
      </w:r>
      <w:r w:rsidR="00EA32C7">
        <w:rPr>
          <w:rFonts w:ascii="Arial" w:hAnsi="Arial" w:cs="Arial"/>
        </w:rPr>
        <w:t xml:space="preserve">abaissement du Chiffre d’affaires </w:t>
      </w:r>
      <w:r w:rsidR="006922D8">
        <w:rPr>
          <w:rFonts w:ascii="Arial" w:hAnsi="Arial" w:cs="Arial"/>
        </w:rPr>
        <w:t xml:space="preserve">de l’artiste-auteur </w:t>
      </w:r>
      <w:r w:rsidR="00EA32C7">
        <w:rPr>
          <w:rFonts w:ascii="Arial" w:hAnsi="Arial" w:cs="Arial"/>
        </w:rPr>
        <w:t xml:space="preserve">en </w:t>
      </w:r>
      <w:r w:rsidR="006922D8">
        <w:rPr>
          <w:rFonts w:ascii="Arial" w:hAnsi="Arial" w:cs="Arial"/>
        </w:rPr>
        <w:t>cas</w:t>
      </w:r>
      <w:r w:rsidR="00EA32C7">
        <w:rPr>
          <w:rFonts w:ascii="Arial" w:hAnsi="Arial" w:cs="Arial"/>
        </w:rPr>
        <w:t xml:space="preserve"> de non répercussion de la TVA sur le prix de vente). </w:t>
      </w:r>
      <w:r w:rsidR="00E05A3A">
        <w:rPr>
          <w:rFonts w:ascii="Arial" w:hAnsi="Arial" w:cs="Arial"/>
        </w:rPr>
        <w:t xml:space="preserve"> </w:t>
      </w:r>
    </w:p>
    <w:p w14:paraId="77659619" w14:textId="5D99591E" w:rsidR="00146655" w:rsidRPr="009E261C" w:rsidRDefault="00441581" w:rsidP="006E0B88">
      <w:pPr>
        <w:spacing w:line="360" w:lineRule="auto"/>
        <w:jc w:val="both"/>
        <w:rPr>
          <w:rFonts w:ascii="Arial" w:hAnsi="Arial" w:cs="Arial"/>
          <w:b/>
          <w:bCs/>
        </w:rPr>
      </w:pPr>
      <w:r w:rsidRPr="00441581">
        <w:rPr>
          <w:rFonts w:ascii="Arial" w:hAnsi="Arial" w:cs="Arial"/>
        </w:rPr>
        <w:t xml:space="preserve">Ce jeudi 6 février, </w:t>
      </w:r>
      <w:r w:rsidR="00026FC0">
        <w:rPr>
          <w:rFonts w:ascii="Arial" w:hAnsi="Arial" w:cs="Arial"/>
        </w:rPr>
        <w:t xml:space="preserve">Monsieur </w:t>
      </w:r>
      <w:r w:rsidRPr="00441581">
        <w:rPr>
          <w:rFonts w:ascii="Arial" w:hAnsi="Arial" w:cs="Arial"/>
        </w:rPr>
        <w:t xml:space="preserve">Eric Lombard, Ministre de l’Economie, annonçait la suspension de </w:t>
      </w:r>
      <w:r w:rsidR="00E05A3A">
        <w:rPr>
          <w:rFonts w:ascii="Arial" w:hAnsi="Arial" w:cs="Arial"/>
        </w:rPr>
        <w:t>cette</w:t>
      </w:r>
      <w:r w:rsidRPr="00441581">
        <w:rPr>
          <w:rFonts w:ascii="Arial" w:hAnsi="Arial" w:cs="Arial"/>
        </w:rPr>
        <w:t xml:space="preserve"> </w:t>
      </w:r>
      <w:r w:rsidR="00DB6947">
        <w:rPr>
          <w:rFonts w:ascii="Arial" w:hAnsi="Arial" w:cs="Arial"/>
        </w:rPr>
        <w:t xml:space="preserve">mesure, </w:t>
      </w:r>
      <w:r w:rsidR="00DB6947" w:rsidRPr="00FC68D5">
        <w:rPr>
          <w:rFonts w:ascii="Arial" w:hAnsi="Arial" w:cs="Arial"/>
        </w:rPr>
        <w:t>qui reste toutefois en discussion</w:t>
      </w:r>
      <w:r w:rsidR="00FC68D5" w:rsidRPr="00FC68D5">
        <w:rPr>
          <w:rFonts w:ascii="Arial" w:hAnsi="Arial" w:cs="Arial"/>
        </w:rPr>
        <w:t>,</w:t>
      </w:r>
      <w:r w:rsidR="00CB0120" w:rsidRPr="00FC68D5">
        <w:rPr>
          <w:rFonts w:ascii="Arial" w:hAnsi="Arial" w:cs="Arial"/>
        </w:rPr>
        <w:t xml:space="preserve"> et menace d’entrer en vigueur sous une forme ou </w:t>
      </w:r>
      <w:r w:rsidR="00CB0120" w:rsidRPr="00FC68D5">
        <w:rPr>
          <w:rFonts w:ascii="Arial" w:hAnsi="Arial" w:cs="Arial"/>
        </w:rPr>
        <w:lastRenderedPageBreak/>
        <w:t>une autre au 1</w:t>
      </w:r>
      <w:r w:rsidR="00CB0120" w:rsidRPr="00FC68D5">
        <w:rPr>
          <w:rFonts w:ascii="Arial" w:hAnsi="Arial" w:cs="Arial"/>
          <w:vertAlign w:val="superscript"/>
        </w:rPr>
        <w:t>er</w:t>
      </w:r>
      <w:r w:rsidR="00CB0120" w:rsidRPr="00FC68D5">
        <w:rPr>
          <w:rFonts w:ascii="Arial" w:hAnsi="Arial" w:cs="Arial"/>
        </w:rPr>
        <w:t xml:space="preserve"> mars 2025.</w:t>
      </w:r>
      <w:r w:rsidR="00CB0120">
        <w:rPr>
          <w:rFonts w:ascii="Arial" w:hAnsi="Arial" w:cs="Arial"/>
        </w:rPr>
        <w:t xml:space="preserve"> </w:t>
      </w:r>
      <w:r w:rsidR="00F65569">
        <w:rPr>
          <w:rFonts w:ascii="Arial" w:hAnsi="Arial" w:cs="Arial"/>
        </w:rPr>
        <w:t>L</w:t>
      </w:r>
      <w:r w:rsidR="00CB0120">
        <w:rPr>
          <w:rFonts w:ascii="Arial" w:hAnsi="Arial" w:cs="Arial"/>
        </w:rPr>
        <w:t xml:space="preserve">a mesure a été </w:t>
      </w:r>
      <w:r w:rsidR="009F6EC5">
        <w:rPr>
          <w:rFonts w:ascii="Arial" w:hAnsi="Arial" w:cs="Arial"/>
        </w:rPr>
        <w:t>examinée au Sénat (et réintroduite après un premier rejet)</w:t>
      </w:r>
      <w:r w:rsidR="00213E43">
        <w:rPr>
          <w:rFonts w:ascii="Arial" w:hAnsi="Arial" w:cs="Arial"/>
        </w:rPr>
        <w:t xml:space="preserve">, </w:t>
      </w:r>
      <w:r w:rsidR="00F65569">
        <w:rPr>
          <w:rFonts w:ascii="Arial" w:hAnsi="Arial" w:cs="Arial"/>
        </w:rPr>
        <w:t xml:space="preserve">pour différents motifs d’alignement sur le droit fiscal européen </w:t>
      </w:r>
      <w:r w:rsidR="00591EDF">
        <w:rPr>
          <w:rFonts w:ascii="Arial" w:hAnsi="Arial" w:cs="Arial"/>
        </w:rPr>
        <w:t>et de concurrence déloyale</w:t>
      </w:r>
      <w:r w:rsidR="00FC68D5">
        <w:rPr>
          <w:rFonts w:ascii="Arial" w:hAnsi="Arial" w:cs="Arial"/>
        </w:rPr>
        <w:t xml:space="preserve"> entre statuts d’entreprises</w:t>
      </w:r>
      <w:r w:rsidR="00591EDF">
        <w:rPr>
          <w:rFonts w:ascii="Arial" w:hAnsi="Arial" w:cs="Arial"/>
        </w:rPr>
        <w:t xml:space="preserve">. </w:t>
      </w:r>
      <w:r w:rsidR="009D649E">
        <w:rPr>
          <w:rFonts w:ascii="Arial" w:hAnsi="Arial" w:cs="Arial"/>
        </w:rPr>
        <w:t xml:space="preserve"> </w:t>
      </w:r>
      <w:r w:rsidR="0062318F" w:rsidRPr="00FC68D5">
        <w:rPr>
          <w:rFonts w:ascii="Arial" w:hAnsi="Arial" w:cs="Arial"/>
          <w:b/>
          <w:bCs/>
        </w:rPr>
        <w:t>I</w:t>
      </w:r>
      <w:r w:rsidR="009D649E" w:rsidRPr="00FC68D5">
        <w:rPr>
          <w:rFonts w:ascii="Arial" w:hAnsi="Arial" w:cs="Arial"/>
          <w:b/>
          <w:bCs/>
        </w:rPr>
        <w:t xml:space="preserve">l </w:t>
      </w:r>
      <w:r w:rsidR="009D649E" w:rsidRPr="009E261C">
        <w:rPr>
          <w:rFonts w:ascii="Arial" w:hAnsi="Arial" w:cs="Arial"/>
          <w:b/>
          <w:bCs/>
        </w:rPr>
        <w:t xml:space="preserve">est urgent </w:t>
      </w:r>
      <w:r w:rsidR="00B22322" w:rsidRPr="009E261C">
        <w:rPr>
          <w:rFonts w:ascii="Arial" w:hAnsi="Arial" w:cs="Arial"/>
          <w:b/>
          <w:bCs/>
        </w:rPr>
        <w:t xml:space="preserve">de </w:t>
      </w:r>
      <w:r w:rsidR="009E261C">
        <w:rPr>
          <w:rFonts w:ascii="Arial" w:hAnsi="Arial" w:cs="Arial"/>
          <w:b/>
          <w:bCs/>
        </w:rPr>
        <w:t xml:space="preserve">porter </w:t>
      </w:r>
      <w:r w:rsidR="00B22322" w:rsidRPr="009E261C">
        <w:rPr>
          <w:rFonts w:ascii="Arial" w:hAnsi="Arial" w:cs="Arial"/>
          <w:b/>
          <w:bCs/>
        </w:rPr>
        <w:t xml:space="preserve">la voix des artistes-auteurs : </w:t>
      </w:r>
      <w:r w:rsidR="007B0CC1" w:rsidRPr="009E261C">
        <w:rPr>
          <w:rFonts w:ascii="Arial" w:hAnsi="Arial" w:cs="Arial"/>
          <w:b/>
          <w:bCs/>
        </w:rPr>
        <w:t xml:space="preserve"> </w:t>
      </w:r>
      <w:r w:rsidR="001D76E8" w:rsidRPr="009E261C">
        <w:rPr>
          <w:rFonts w:ascii="Arial" w:hAnsi="Arial" w:cs="Arial"/>
          <w:b/>
          <w:bCs/>
        </w:rPr>
        <w:t xml:space="preserve">non, il n’y a </w:t>
      </w:r>
      <w:proofErr w:type="gramStart"/>
      <w:r w:rsidR="001D76E8" w:rsidRPr="009E261C">
        <w:rPr>
          <w:rFonts w:ascii="Arial" w:hAnsi="Arial" w:cs="Arial"/>
          <w:b/>
          <w:bCs/>
        </w:rPr>
        <w:t>aucune  concurrence</w:t>
      </w:r>
      <w:proofErr w:type="gramEnd"/>
      <w:r w:rsidR="001D76E8" w:rsidRPr="009E261C">
        <w:rPr>
          <w:rFonts w:ascii="Arial" w:hAnsi="Arial" w:cs="Arial"/>
          <w:b/>
          <w:bCs/>
        </w:rPr>
        <w:t xml:space="preserve"> </w:t>
      </w:r>
      <w:r w:rsidR="00591EDF">
        <w:rPr>
          <w:rFonts w:ascii="Arial" w:hAnsi="Arial" w:cs="Arial"/>
          <w:b/>
          <w:bCs/>
        </w:rPr>
        <w:t xml:space="preserve">déloyale </w:t>
      </w:r>
      <w:r w:rsidR="001D76E8" w:rsidRPr="009E261C">
        <w:rPr>
          <w:rFonts w:ascii="Arial" w:hAnsi="Arial" w:cs="Arial"/>
          <w:b/>
          <w:bCs/>
        </w:rPr>
        <w:t xml:space="preserve">entre les entreprises ou les microentreprises et les artistes-auteurs ! </w:t>
      </w:r>
    </w:p>
    <w:p w14:paraId="19E8931B" w14:textId="513DF50C" w:rsidR="0034284E" w:rsidRDefault="00591EDF" w:rsidP="006E0B88">
      <w:pPr>
        <w:spacing w:line="360" w:lineRule="auto"/>
        <w:jc w:val="both"/>
        <w:rPr>
          <w:rFonts w:ascii="Arial" w:hAnsi="Arial" w:cs="Arial"/>
        </w:rPr>
      </w:pPr>
      <w:r>
        <w:rPr>
          <w:rFonts w:ascii="Arial" w:hAnsi="Arial" w:cs="Arial"/>
        </w:rPr>
        <w:t>Nos activités relèvent de la création d’œuvres originales</w:t>
      </w:r>
      <w:r w:rsidR="00340BA6">
        <w:rPr>
          <w:rFonts w:ascii="Arial" w:hAnsi="Arial" w:cs="Arial"/>
        </w:rPr>
        <w:t xml:space="preserve"> protég</w:t>
      </w:r>
      <w:r w:rsidR="0034284E">
        <w:rPr>
          <w:rFonts w:ascii="Arial" w:hAnsi="Arial" w:cs="Arial"/>
        </w:rPr>
        <w:t>ées par le Droit d’auteur et le</w:t>
      </w:r>
      <w:r w:rsidR="00340BA6">
        <w:rPr>
          <w:rFonts w:ascii="Arial" w:hAnsi="Arial" w:cs="Arial"/>
        </w:rPr>
        <w:t xml:space="preserve"> code de la propriété intellectuelle</w:t>
      </w:r>
      <w:r>
        <w:rPr>
          <w:rFonts w:ascii="Arial" w:hAnsi="Arial" w:cs="Arial"/>
        </w:rPr>
        <w:t xml:space="preserve">, </w:t>
      </w:r>
      <w:r w:rsidR="0034284E">
        <w:rPr>
          <w:rFonts w:ascii="Arial" w:hAnsi="Arial" w:cs="Arial"/>
        </w:rPr>
        <w:t xml:space="preserve">et </w:t>
      </w:r>
      <w:r w:rsidR="001F07FA">
        <w:rPr>
          <w:rFonts w:ascii="Arial" w:hAnsi="Arial" w:cs="Arial"/>
        </w:rPr>
        <w:t>elles font l’objet d’un régime de sécurité sociale spécifique</w:t>
      </w:r>
      <w:r w:rsidR="0034284E">
        <w:rPr>
          <w:rFonts w:ascii="Arial" w:hAnsi="Arial" w:cs="Arial"/>
        </w:rPr>
        <w:t xml:space="preserve"> chèrement acquis et initié par La Maison des Artistes dans les années 1960</w:t>
      </w:r>
      <w:r w:rsidR="002A21E9">
        <w:rPr>
          <w:rFonts w:ascii="Arial" w:hAnsi="Arial" w:cs="Arial"/>
        </w:rPr>
        <w:t>, dans un marché fragile</w:t>
      </w:r>
      <w:r w:rsidR="00340BA6">
        <w:rPr>
          <w:rFonts w:ascii="Arial" w:hAnsi="Arial" w:cs="Arial"/>
        </w:rPr>
        <w:t xml:space="preserve">. </w:t>
      </w:r>
    </w:p>
    <w:p w14:paraId="263A163E" w14:textId="4EE48A8B" w:rsidR="00057FE1" w:rsidRPr="00202498" w:rsidRDefault="0034284E" w:rsidP="006E0B88">
      <w:pPr>
        <w:spacing w:line="360" w:lineRule="auto"/>
        <w:jc w:val="both"/>
        <w:rPr>
          <w:rFonts w:ascii="Arial" w:hAnsi="Arial" w:cs="Arial"/>
          <w:sz w:val="24"/>
          <w:szCs w:val="24"/>
        </w:rPr>
      </w:pPr>
      <w:r>
        <w:rPr>
          <w:rFonts w:ascii="Arial" w:hAnsi="Arial" w:cs="Arial"/>
        </w:rPr>
        <w:t>Pour ces distinctions fondamentales, et</w:t>
      </w:r>
      <w:r w:rsidR="00445DE7" w:rsidRPr="004862E0">
        <w:rPr>
          <w:rFonts w:ascii="Arial" w:hAnsi="Arial" w:cs="Arial"/>
        </w:rPr>
        <w:t xml:space="preserve"> </w:t>
      </w:r>
      <w:r w:rsidR="006B58C1" w:rsidRPr="004862E0">
        <w:rPr>
          <w:rFonts w:ascii="Arial" w:hAnsi="Arial" w:cs="Arial"/>
        </w:rPr>
        <w:t>a</w:t>
      </w:r>
      <w:r w:rsidR="00441581" w:rsidRPr="004862E0">
        <w:rPr>
          <w:rFonts w:ascii="Arial" w:hAnsi="Arial" w:cs="Arial"/>
        </w:rPr>
        <w:t xml:space="preserve">lors que </w:t>
      </w:r>
      <w:r w:rsidR="00C92DCB" w:rsidRPr="004862E0">
        <w:rPr>
          <w:rFonts w:ascii="Arial" w:hAnsi="Arial" w:cs="Arial"/>
        </w:rPr>
        <w:t xml:space="preserve">cette mesure </w:t>
      </w:r>
      <w:r w:rsidR="006B58C1" w:rsidRPr="004862E0">
        <w:rPr>
          <w:rFonts w:ascii="Arial" w:hAnsi="Arial" w:cs="Arial"/>
        </w:rPr>
        <w:t>« </w:t>
      </w:r>
      <w:r w:rsidR="00C92DCB" w:rsidRPr="004862E0">
        <w:rPr>
          <w:rFonts w:ascii="Arial" w:hAnsi="Arial" w:cs="Arial"/>
        </w:rPr>
        <w:t>suspendue</w:t>
      </w:r>
      <w:r w:rsidR="00255D48" w:rsidRPr="004862E0">
        <w:rPr>
          <w:rFonts w:ascii="Arial" w:hAnsi="Arial" w:cs="Arial"/>
        </w:rPr>
        <w:t> »</w:t>
      </w:r>
      <w:r w:rsidR="00C92DCB" w:rsidRPr="004862E0">
        <w:rPr>
          <w:rFonts w:ascii="Arial" w:hAnsi="Arial" w:cs="Arial"/>
        </w:rPr>
        <w:t xml:space="preserve"> et </w:t>
      </w:r>
      <w:r w:rsidR="008E3DED" w:rsidRPr="004862E0">
        <w:rPr>
          <w:rFonts w:ascii="Arial" w:hAnsi="Arial" w:cs="Arial"/>
        </w:rPr>
        <w:t>est en train d’être</w:t>
      </w:r>
      <w:r w:rsidR="00441581" w:rsidRPr="004862E0">
        <w:rPr>
          <w:rFonts w:ascii="Arial" w:hAnsi="Arial" w:cs="Arial"/>
        </w:rPr>
        <w:t xml:space="preserve"> </w:t>
      </w:r>
      <w:r w:rsidR="00CF54B6">
        <w:rPr>
          <w:rFonts w:ascii="Arial" w:hAnsi="Arial" w:cs="Arial"/>
        </w:rPr>
        <w:t>red</w:t>
      </w:r>
      <w:r w:rsidR="00CF54B6" w:rsidRPr="004862E0">
        <w:rPr>
          <w:rFonts w:ascii="Arial" w:hAnsi="Arial" w:cs="Arial"/>
        </w:rPr>
        <w:t>ébattue</w:t>
      </w:r>
      <w:r w:rsidR="00441581" w:rsidRPr="004862E0">
        <w:rPr>
          <w:rFonts w:ascii="Arial" w:hAnsi="Arial" w:cs="Arial"/>
        </w:rPr>
        <w:t xml:space="preserve"> avec </w:t>
      </w:r>
      <w:r w:rsidR="00BD4A40" w:rsidRPr="004862E0">
        <w:rPr>
          <w:rFonts w:ascii="Arial" w:hAnsi="Arial" w:cs="Arial"/>
        </w:rPr>
        <w:t>le ministère des Finances et du Budget</w:t>
      </w:r>
      <w:r w:rsidR="002A21E9">
        <w:rPr>
          <w:rFonts w:ascii="Arial" w:hAnsi="Arial" w:cs="Arial"/>
        </w:rPr>
        <w:t xml:space="preserve"> dans les prochains jours</w:t>
      </w:r>
      <w:r w:rsidR="00441581" w:rsidRPr="004862E0">
        <w:rPr>
          <w:rFonts w:ascii="Arial" w:hAnsi="Arial" w:cs="Arial"/>
        </w:rPr>
        <w:t xml:space="preserve">, </w:t>
      </w:r>
      <w:r w:rsidR="006B58C1" w:rsidRPr="004862E0">
        <w:rPr>
          <w:rFonts w:ascii="Arial" w:hAnsi="Arial" w:cs="Arial"/>
        </w:rPr>
        <w:t xml:space="preserve">le syndicat SMDA CFDT et La Maison des Artistes appellent à faire sortir les artistes-auteurs de </w:t>
      </w:r>
      <w:r w:rsidR="007F122A" w:rsidRPr="004862E0">
        <w:rPr>
          <w:rFonts w:ascii="Arial" w:hAnsi="Arial" w:cs="Arial"/>
        </w:rPr>
        <w:t xml:space="preserve">tout dispositif d’abaissement des seuils de franchise </w:t>
      </w:r>
      <w:r w:rsidR="0051238D">
        <w:rPr>
          <w:rFonts w:ascii="Arial" w:hAnsi="Arial" w:cs="Arial"/>
        </w:rPr>
        <w:t xml:space="preserve">de </w:t>
      </w:r>
      <w:r w:rsidR="007F122A" w:rsidRPr="004862E0">
        <w:rPr>
          <w:rFonts w:ascii="Arial" w:hAnsi="Arial" w:cs="Arial"/>
        </w:rPr>
        <w:t xml:space="preserve">TVA. </w:t>
      </w:r>
    </w:p>
    <w:p w14:paraId="0262F4DF" w14:textId="36004288" w:rsidR="0008502D" w:rsidRDefault="00026FC0" w:rsidP="006E0B88">
      <w:pPr>
        <w:spacing w:line="360" w:lineRule="auto"/>
        <w:jc w:val="both"/>
        <w:rPr>
          <w:rFonts w:ascii="Aptos Light" w:hAnsi="Aptos Light" w:cs="Arial"/>
          <w:sz w:val="24"/>
          <w:szCs w:val="24"/>
        </w:rPr>
      </w:pPr>
      <w:r>
        <w:rPr>
          <w:noProof/>
        </w:rPr>
        <w:drawing>
          <wp:anchor distT="0" distB="0" distL="114300" distR="114300" simplePos="0" relativeHeight="251658240" behindDoc="0" locked="0" layoutInCell="1" allowOverlap="1" wp14:anchorId="34D9C041" wp14:editId="70C1E20A">
            <wp:simplePos x="0" y="0"/>
            <wp:positionH relativeFrom="column">
              <wp:posOffset>4457065</wp:posOffset>
            </wp:positionH>
            <wp:positionV relativeFrom="paragraph">
              <wp:posOffset>-15875</wp:posOffset>
            </wp:positionV>
            <wp:extent cx="1378585" cy="824230"/>
            <wp:effectExtent l="0" t="0" r="0" b="0"/>
            <wp:wrapSquare wrapText="bothSides"/>
            <wp:docPr id="2130459618" name="Image 3" descr="Une image contenant écriture manuscrite, calligraphie, Police,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9618" name="Image 3" descr="Une image contenant écriture manuscrite, calligraphie, Police, croquis&#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8585" cy="824230"/>
                    </a:xfrm>
                    <a:prstGeom prst="rect">
                      <a:avLst/>
                    </a:prstGeom>
                  </pic:spPr>
                </pic:pic>
              </a:graphicData>
            </a:graphic>
            <wp14:sizeRelH relativeFrom="margin">
              <wp14:pctWidth>0</wp14:pctWidth>
            </wp14:sizeRelH>
            <wp14:sizeRelV relativeFrom="margin">
              <wp14:pctHeight>0</wp14:pctHeight>
            </wp14:sizeRelV>
          </wp:anchor>
        </w:drawing>
      </w:r>
    </w:p>
    <w:p w14:paraId="42AE0D60" w14:textId="591E96BE" w:rsidR="00FB03FE" w:rsidRDefault="00FB03FE" w:rsidP="006E0B88">
      <w:pPr>
        <w:spacing w:line="360" w:lineRule="auto"/>
        <w:jc w:val="both"/>
        <w:rPr>
          <w:rFonts w:ascii="Aptos Light" w:hAnsi="Aptos Light" w:cs="Arial"/>
          <w:sz w:val="24"/>
          <w:szCs w:val="24"/>
        </w:rPr>
      </w:pPr>
    </w:p>
    <w:p w14:paraId="58147AB7" w14:textId="7BBDE20E" w:rsidR="00424F4A" w:rsidRPr="00CC1940" w:rsidRDefault="00424F4A" w:rsidP="006E0B88">
      <w:pPr>
        <w:spacing w:line="360" w:lineRule="auto"/>
        <w:rPr>
          <w:rFonts w:ascii="Arial" w:hAnsi="Arial" w:cs="Arial"/>
          <w:sz w:val="24"/>
          <w:szCs w:val="24"/>
        </w:rPr>
      </w:pPr>
    </w:p>
    <w:p w14:paraId="16E455C6" w14:textId="0E8B58B7" w:rsidR="00B90DFE" w:rsidRPr="0008502D" w:rsidRDefault="00CE435D" w:rsidP="006E0B88">
      <w:pPr>
        <w:spacing w:after="0" w:line="360" w:lineRule="auto"/>
        <w:ind w:left="5664" w:firstLine="708"/>
        <w:jc w:val="center"/>
        <w:rPr>
          <w:rFonts w:ascii="Arial" w:hAnsi="Arial" w:cs="Arial"/>
          <w:b/>
          <w:bCs/>
        </w:rPr>
      </w:pPr>
      <w:r w:rsidRPr="0008502D">
        <w:rPr>
          <w:rFonts w:ascii="Arial" w:hAnsi="Arial" w:cs="Arial"/>
          <w:b/>
          <w:bCs/>
        </w:rPr>
        <w:t>Rémy ARON</w:t>
      </w:r>
      <w:r w:rsidR="00CC1940" w:rsidRPr="0008502D">
        <w:rPr>
          <w:rFonts w:ascii="Arial" w:hAnsi="Arial" w:cs="Arial"/>
          <w:b/>
          <w:bCs/>
        </w:rPr>
        <w:tab/>
      </w:r>
    </w:p>
    <w:p w14:paraId="743FF512" w14:textId="77777777" w:rsidR="007A49B5" w:rsidRPr="0008502D" w:rsidRDefault="00B90DFE" w:rsidP="006E0B88">
      <w:pPr>
        <w:spacing w:after="0" w:line="360" w:lineRule="auto"/>
        <w:ind w:left="6372" w:firstLine="708"/>
        <w:rPr>
          <w:rFonts w:ascii="Arial" w:hAnsi="Arial" w:cs="Arial"/>
        </w:rPr>
      </w:pPr>
      <w:r w:rsidRPr="0008502D">
        <w:rPr>
          <w:rFonts w:ascii="Arial" w:hAnsi="Arial" w:cs="Arial"/>
        </w:rPr>
        <w:t>Secrétaire général</w:t>
      </w:r>
      <w:r w:rsidR="00CC1940" w:rsidRPr="0008502D">
        <w:rPr>
          <w:rFonts w:ascii="Arial" w:hAnsi="Arial" w:cs="Arial"/>
        </w:rPr>
        <w:tab/>
      </w:r>
    </w:p>
    <w:p w14:paraId="45AD5C4A" w14:textId="51248480" w:rsidR="00D675F0" w:rsidRPr="0008502D" w:rsidRDefault="007A49B5" w:rsidP="006E0B88">
      <w:pPr>
        <w:spacing w:after="0" w:line="360" w:lineRule="auto"/>
        <w:ind w:left="6372"/>
        <w:rPr>
          <w:rFonts w:ascii="Arial" w:hAnsi="Arial" w:cs="Arial"/>
        </w:rPr>
      </w:pPr>
      <w:r w:rsidRPr="0008502D">
        <w:rPr>
          <w:rFonts w:ascii="Arial" w:hAnsi="Arial" w:cs="Arial"/>
        </w:rPr>
        <w:t xml:space="preserve">Contact : </w:t>
      </w:r>
      <w:hyperlink r:id="rId13" w:history="1">
        <w:r w:rsidR="00C70C18" w:rsidRPr="0008502D">
          <w:rPr>
            <w:rStyle w:val="Lienhypertexte"/>
            <w:rFonts w:ascii="Arial" w:hAnsi="Arial" w:cs="Arial"/>
          </w:rPr>
          <w:t>smda@f3c.cfdt.fr</w:t>
        </w:r>
      </w:hyperlink>
      <w:r w:rsidR="00CC1940" w:rsidRPr="0008502D">
        <w:rPr>
          <w:rFonts w:ascii="Arial" w:hAnsi="Arial" w:cs="Arial"/>
        </w:rPr>
        <w:tab/>
      </w:r>
    </w:p>
    <w:p w14:paraId="08F9D771" w14:textId="77777777" w:rsidR="00C70C18" w:rsidRDefault="00C70C18" w:rsidP="007A49B5">
      <w:pPr>
        <w:ind w:left="5664"/>
        <w:rPr>
          <w:rFonts w:ascii="Arial" w:hAnsi="Arial" w:cs="Arial"/>
          <w:sz w:val="24"/>
          <w:szCs w:val="24"/>
        </w:rPr>
      </w:pPr>
    </w:p>
    <w:p w14:paraId="26BA66B0" w14:textId="77777777" w:rsidR="00D675F0" w:rsidRPr="00CE3D21" w:rsidRDefault="00D675F0" w:rsidP="00D675F0">
      <w:pPr>
        <w:jc w:val="both"/>
        <w:rPr>
          <w:rFonts w:ascii="Arial" w:hAnsi="Arial" w:cs="Arial"/>
          <w:sz w:val="24"/>
          <w:szCs w:val="24"/>
        </w:rPr>
      </w:pPr>
      <w:r w:rsidRPr="00CE3D21">
        <w:rPr>
          <w:rFonts w:ascii="Arial" w:hAnsi="Arial" w:cs="Arial"/>
          <w:sz w:val="24"/>
          <w:szCs w:val="24"/>
        </w:rPr>
        <w:t>---------------------------------------------------------------------------------------------------------------</w:t>
      </w:r>
    </w:p>
    <w:p w14:paraId="580245AD" w14:textId="78FF12F4" w:rsidR="00D675F0" w:rsidRPr="00CE3D21" w:rsidRDefault="00C70C18" w:rsidP="00D675F0">
      <w:pPr>
        <w:jc w:val="both"/>
        <w:rPr>
          <w:rFonts w:ascii="Arial" w:hAnsi="Arial" w:cs="Arial"/>
          <w:sz w:val="20"/>
          <w:szCs w:val="20"/>
        </w:rPr>
      </w:pPr>
      <w:r>
        <w:rPr>
          <w:rFonts w:ascii="Arial" w:hAnsi="Arial" w:cs="Arial"/>
          <w:sz w:val="20"/>
          <w:szCs w:val="20"/>
        </w:rPr>
        <w:t>Ce que disent les textes, avant / après</w:t>
      </w:r>
      <w:r w:rsidR="00635B0A">
        <w:rPr>
          <w:rFonts w:ascii="Arial" w:hAnsi="Arial" w:cs="Arial"/>
          <w:sz w:val="20"/>
          <w:szCs w:val="20"/>
        </w:rPr>
        <w:t xml:space="preserve"> (mesure suspendue le 6/02/2025).</w:t>
      </w:r>
      <w:r>
        <w:rPr>
          <w:rFonts w:ascii="Arial" w:hAnsi="Arial" w:cs="Arial"/>
          <w:sz w:val="20"/>
          <w:szCs w:val="20"/>
        </w:rPr>
        <w:t xml:space="preserve"> </w:t>
      </w:r>
    </w:p>
    <w:p w14:paraId="6A37F295" w14:textId="77777777" w:rsidR="00D675F0" w:rsidRPr="00CE3D21" w:rsidRDefault="00B83D9F" w:rsidP="00D675F0">
      <w:pPr>
        <w:jc w:val="both"/>
        <w:rPr>
          <w:rFonts w:ascii="Arial" w:hAnsi="Arial" w:cs="Arial"/>
          <w:sz w:val="20"/>
          <w:szCs w:val="20"/>
        </w:rPr>
      </w:pPr>
      <w:hyperlink r:id="rId14" w:history="1">
        <w:r w:rsidR="00D675F0" w:rsidRPr="00202498">
          <w:rPr>
            <w:rStyle w:val="Lienhypertexte"/>
            <w:rFonts w:ascii="Arial" w:hAnsi="Arial" w:cs="Arial"/>
            <w:sz w:val="20"/>
            <w:szCs w:val="20"/>
          </w:rPr>
          <w:t>Initialement et ce depuis le 1er janvier 2025 le seuil de TVA des artistes-auteurs était fixé par le II.-A du même article : </w:t>
        </w:r>
      </w:hyperlink>
    </w:p>
    <w:p w14:paraId="04925559" w14:textId="77777777" w:rsidR="008A4D74" w:rsidRPr="00E627DA" w:rsidRDefault="008A4D74" w:rsidP="008A4D74">
      <w:pPr>
        <w:jc w:val="both"/>
        <w:rPr>
          <w:rFonts w:ascii="Arial" w:hAnsi="Arial" w:cs="Arial"/>
          <w:sz w:val="20"/>
          <w:szCs w:val="20"/>
        </w:rPr>
      </w:pPr>
      <w:r w:rsidRPr="00E627DA">
        <w:rPr>
          <w:rFonts w:ascii="Arial" w:hAnsi="Arial" w:cs="Arial"/>
          <w:sz w:val="20"/>
          <w:szCs w:val="20"/>
        </w:rPr>
        <w:t>II.-A.-Les avocats, les avocats au Conseil d'Etat et à la Cour de cassation, les auteurs d'œuvres de l'esprit et les artistes-interprètes assujettis et établis en France bénéficient d'une franchise qui les dispense du paiement de la taxe sur la valeur ajoutée lorsqu'ils n'ont pas réalisé en France un chiffre d'affaires, évalué dans les conditions prévues à l'article 293 D, excédant les plafonds suivants :</w:t>
      </w:r>
      <w:r w:rsidRPr="00E627DA">
        <w:rPr>
          <w:rFonts w:ascii="Arial" w:hAnsi="Arial" w:cs="Arial"/>
          <w:sz w:val="20"/>
          <w:szCs w:val="20"/>
        </w:rPr>
        <w:br/>
      </w:r>
      <w:r w:rsidRPr="00E627DA">
        <w:rPr>
          <w:rFonts w:ascii="Arial" w:hAnsi="Arial" w:cs="Arial"/>
          <w:sz w:val="20"/>
          <w:szCs w:val="20"/>
        </w:rPr>
        <w:br/>
        <w:t>(En euros.)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4"/>
        <w:gridCol w:w="3654"/>
        <w:gridCol w:w="3654"/>
      </w:tblGrid>
      <w:tr w:rsidR="008A4D74" w:rsidRPr="00E627DA" w14:paraId="179C671A" w14:textId="77777777" w:rsidTr="000C23F9">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7CE0EFD3"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Année d'évaluation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5C5D7034"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Chiffre d'affaires national afférent aux opérations</w:t>
            </w:r>
            <w:r w:rsidRPr="00E627DA">
              <w:rPr>
                <w:rFonts w:ascii="Arial" w:hAnsi="Arial" w:cs="Arial"/>
                <w:b/>
                <w:bCs/>
                <w:sz w:val="20"/>
                <w:szCs w:val="20"/>
              </w:rPr>
              <w:br/>
            </w:r>
            <w:r w:rsidRPr="00E627DA">
              <w:rPr>
                <w:rFonts w:ascii="Arial" w:hAnsi="Arial" w:cs="Arial"/>
                <w:b/>
                <w:bCs/>
                <w:sz w:val="20"/>
                <w:szCs w:val="20"/>
              </w:rPr>
              <w:br/>
              <w:t>mentionnées au B du présent II</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07A67327"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Chiffre d'affaires national afférent aux opérations</w:t>
            </w:r>
            <w:r w:rsidRPr="00E627DA">
              <w:rPr>
                <w:rFonts w:ascii="Arial" w:hAnsi="Arial" w:cs="Arial"/>
                <w:b/>
                <w:bCs/>
                <w:sz w:val="20"/>
                <w:szCs w:val="20"/>
              </w:rPr>
              <w:br/>
            </w:r>
            <w:r w:rsidRPr="00E627DA">
              <w:rPr>
                <w:rFonts w:ascii="Arial" w:hAnsi="Arial" w:cs="Arial"/>
                <w:b/>
                <w:bCs/>
                <w:sz w:val="20"/>
                <w:szCs w:val="20"/>
              </w:rPr>
              <w:br/>
              <w:t>autres que celles mentionnées au B du présent II</w:t>
            </w:r>
          </w:p>
        </w:tc>
      </w:tr>
      <w:tr w:rsidR="008A4D74" w:rsidRPr="00E627DA" w14:paraId="7CD9D623" w14:textId="77777777" w:rsidTr="000C23F9">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62C124E"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lastRenderedPageBreak/>
              <w:br/>
              <w:t>Année civile précédente</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3C72D93"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50 000</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B2C482D"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35 000</w:t>
            </w:r>
          </w:p>
        </w:tc>
      </w:tr>
      <w:tr w:rsidR="008A4D74" w:rsidRPr="00E627DA" w14:paraId="4CCA6EE4" w14:textId="77777777" w:rsidTr="000C23F9">
        <w:trPr>
          <w:jc w:val="center"/>
        </w:trPr>
        <w:tc>
          <w:tcPr>
            <w:tcW w:w="0" w:type="auto"/>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14:paraId="4BF8FD37"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Année en cours</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2A17149A"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55 000</w:t>
            </w:r>
          </w:p>
        </w:tc>
        <w:tc>
          <w:tcPr>
            <w:tcW w:w="0" w:type="auto"/>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14:paraId="527E27D1" w14:textId="77777777" w:rsidR="008A4D74" w:rsidRPr="00E627DA" w:rsidRDefault="008A4D74" w:rsidP="000C23F9">
            <w:pPr>
              <w:jc w:val="both"/>
              <w:rPr>
                <w:rFonts w:ascii="Arial" w:hAnsi="Arial" w:cs="Arial"/>
                <w:b/>
                <w:bCs/>
                <w:sz w:val="20"/>
                <w:szCs w:val="20"/>
              </w:rPr>
            </w:pPr>
            <w:r w:rsidRPr="00E627DA">
              <w:rPr>
                <w:rFonts w:ascii="Arial" w:hAnsi="Arial" w:cs="Arial"/>
                <w:b/>
                <w:bCs/>
                <w:sz w:val="20"/>
                <w:szCs w:val="20"/>
              </w:rPr>
              <w:br/>
              <w:t>38 500</w:t>
            </w:r>
          </w:p>
        </w:tc>
      </w:tr>
    </w:tbl>
    <w:p w14:paraId="0D0D053C" w14:textId="77777777" w:rsidR="008A4D74" w:rsidRDefault="008A4D74" w:rsidP="008A4D74">
      <w:pPr>
        <w:jc w:val="both"/>
        <w:rPr>
          <w:rFonts w:ascii="Arial" w:hAnsi="Arial" w:cs="Arial"/>
          <w:sz w:val="20"/>
          <w:szCs w:val="20"/>
        </w:rPr>
      </w:pPr>
      <w:r w:rsidRPr="00E627DA">
        <w:rPr>
          <w:rFonts w:ascii="Arial" w:hAnsi="Arial" w:cs="Arial"/>
          <w:sz w:val="20"/>
          <w:szCs w:val="20"/>
        </w:rPr>
        <w:t>B.-Les opérations prises en compte pour les besoins des plafonds mentionnés à la deuxième colonne du tableau du second alinéa du A du présent II sont les suivantes :</w:t>
      </w:r>
      <w:r w:rsidRPr="00E627DA">
        <w:rPr>
          <w:rFonts w:ascii="Arial" w:hAnsi="Arial" w:cs="Arial"/>
          <w:sz w:val="20"/>
          <w:szCs w:val="20"/>
        </w:rPr>
        <w:br/>
      </w:r>
      <w:r w:rsidRPr="00E627DA">
        <w:rPr>
          <w:rFonts w:ascii="Arial" w:hAnsi="Arial" w:cs="Arial"/>
          <w:sz w:val="20"/>
          <w:szCs w:val="20"/>
        </w:rPr>
        <w:br/>
        <w:t>1° Les opérations réalisées par les avocats et les avocats au Conseil d'Etat et à la Cour de cassation, dans le cadre de l'activité définie par la réglementation applicable à leur profession ;</w:t>
      </w:r>
      <w:r w:rsidRPr="00E627DA">
        <w:rPr>
          <w:rFonts w:ascii="Arial" w:hAnsi="Arial" w:cs="Arial"/>
          <w:sz w:val="20"/>
          <w:szCs w:val="20"/>
        </w:rPr>
        <w:br/>
      </w:r>
      <w:r w:rsidRPr="00E627DA">
        <w:rPr>
          <w:rFonts w:ascii="Arial" w:hAnsi="Arial" w:cs="Arial"/>
          <w:sz w:val="20"/>
          <w:szCs w:val="20"/>
        </w:rPr>
        <w:br/>
        <w:t>2° Les livraisons par les auteurs d'œuvres de l'esprit, à l'exception des architectes, de leurs œuvres mentionnées aux </w:t>
      </w:r>
      <w:hyperlink r:id="rId15" w:history="1">
        <w:r w:rsidRPr="00E627DA">
          <w:rPr>
            <w:rStyle w:val="Lienhypertexte"/>
            <w:rFonts w:ascii="Arial" w:hAnsi="Arial" w:cs="Arial"/>
            <w:sz w:val="20"/>
            <w:szCs w:val="20"/>
          </w:rPr>
          <w:t>1° à 12° de l'article L. 112-2 du code de la propriété intellectuelle</w:t>
        </w:r>
      </w:hyperlink>
      <w:r w:rsidRPr="00E627DA">
        <w:rPr>
          <w:rFonts w:ascii="Arial" w:hAnsi="Arial" w:cs="Arial"/>
          <w:sz w:val="20"/>
          <w:szCs w:val="20"/>
        </w:rPr>
        <w:t> et la cession des droits patrimoniaux qui leur sont reconnus par la loi ;</w:t>
      </w:r>
      <w:r w:rsidRPr="00E627DA">
        <w:rPr>
          <w:rFonts w:ascii="Arial" w:hAnsi="Arial" w:cs="Arial"/>
          <w:sz w:val="20"/>
          <w:szCs w:val="20"/>
        </w:rPr>
        <w:br/>
      </w:r>
      <w:r w:rsidRPr="00E627DA">
        <w:rPr>
          <w:rFonts w:ascii="Arial" w:hAnsi="Arial" w:cs="Arial"/>
          <w:sz w:val="20"/>
          <w:szCs w:val="20"/>
        </w:rPr>
        <w:br/>
        <w:t>3° Les opérations relatives à l'exploitation des droits patrimoniaux qui sont reconnus par la loi aux artistes-interprètes mentionnés à l'article L. 212-1 du même code.</w:t>
      </w:r>
      <w:r w:rsidRPr="00E627DA">
        <w:rPr>
          <w:rFonts w:ascii="Arial" w:hAnsi="Arial" w:cs="Arial"/>
          <w:sz w:val="20"/>
          <w:szCs w:val="20"/>
        </w:rPr>
        <w:br/>
      </w:r>
      <w:r w:rsidRPr="00E627DA">
        <w:rPr>
          <w:rFonts w:ascii="Arial" w:hAnsi="Arial" w:cs="Arial"/>
          <w:sz w:val="20"/>
          <w:szCs w:val="20"/>
        </w:rPr>
        <w:br/>
        <w:t>III.-Lorsque l'un des plafonds de chiffre d'affaires prévus aux I ou II du présent article pour les opérations de l'année en cours est dépassé, la franchise cesse de s'appliquer pour les opérations intervenant à compter de la date de dépassement.</w:t>
      </w:r>
    </w:p>
    <w:p w14:paraId="6ECCB94E" w14:textId="77777777" w:rsidR="008A4D74" w:rsidRPr="00E627DA" w:rsidRDefault="008A4D74" w:rsidP="008A4D74">
      <w:pPr>
        <w:jc w:val="both"/>
        <w:rPr>
          <w:rFonts w:ascii="Arial" w:hAnsi="Arial" w:cs="Arial"/>
          <w:sz w:val="20"/>
          <w:szCs w:val="20"/>
        </w:rPr>
      </w:pPr>
    </w:p>
    <w:p w14:paraId="36AAF400" w14:textId="1A88E6F9" w:rsidR="00D675F0" w:rsidRPr="008A4D74" w:rsidRDefault="008A4D74" w:rsidP="00D675F0">
      <w:pPr>
        <w:jc w:val="both"/>
        <w:rPr>
          <w:rFonts w:ascii="Arial" w:hAnsi="Arial" w:cs="Arial"/>
          <w:b/>
          <w:bCs/>
          <w:sz w:val="20"/>
          <w:szCs w:val="20"/>
        </w:rPr>
      </w:pPr>
      <w:r w:rsidRPr="008A4D74">
        <w:rPr>
          <w:rFonts w:ascii="Arial" w:hAnsi="Arial" w:cs="Arial"/>
          <w:b/>
          <w:bCs/>
          <w:sz w:val="20"/>
          <w:szCs w:val="20"/>
        </w:rPr>
        <w:t xml:space="preserve">Et maintenant : </w:t>
      </w:r>
    </w:p>
    <w:p w14:paraId="575F85C8" w14:textId="77777777" w:rsidR="00D675F0" w:rsidRPr="00202498" w:rsidRDefault="00D675F0" w:rsidP="00D675F0">
      <w:pPr>
        <w:jc w:val="both"/>
        <w:rPr>
          <w:rFonts w:ascii="Arial" w:hAnsi="Arial" w:cs="Arial"/>
          <w:b/>
          <w:bCs/>
          <w:color w:val="FF0000"/>
          <w:sz w:val="20"/>
          <w:szCs w:val="20"/>
        </w:rPr>
      </w:pPr>
      <w:r w:rsidRPr="00202498">
        <w:rPr>
          <w:rFonts w:ascii="Arial" w:hAnsi="Arial" w:cs="Arial"/>
          <w:sz w:val="20"/>
          <w:szCs w:val="20"/>
        </w:rPr>
        <w:t xml:space="preserve">Depuis le 3 février, suite à l’adoption du PLF 2025 par 49.3, </w:t>
      </w:r>
      <w:r w:rsidRPr="00202498">
        <w:rPr>
          <w:rFonts w:ascii="Arial" w:hAnsi="Arial" w:cs="Arial"/>
          <w:b/>
          <w:bCs/>
          <w:color w:val="FF0000"/>
          <w:sz w:val="20"/>
          <w:szCs w:val="20"/>
        </w:rPr>
        <w:t>un seuil unique de 25 000 € est fixé </w:t>
      </w:r>
      <w:hyperlink r:id="rId16" w:anchor="D_Article_10" w:history="1">
        <w:r w:rsidRPr="00202498">
          <w:rPr>
            <w:rStyle w:val="Lienhypertexte"/>
            <w:rFonts w:ascii="Arial" w:hAnsi="Arial" w:cs="Arial"/>
            <w:b/>
            <w:bCs/>
            <w:color w:val="FF0000"/>
            <w:sz w:val="20"/>
            <w:szCs w:val="20"/>
          </w:rPr>
          <w:t>en vertu de l’article 10 </w:t>
        </w:r>
      </w:hyperlink>
      <w:r w:rsidRPr="00202498">
        <w:rPr>
          <w:rFonts w:ascii="Arial" w:hAnsi="Arial" w:cs="Arial"/>
          <w:b/>
          <w:bCs/>
          <w:color w:val="FF0000"/>
          <w:sz w:val="20"/>
          <w:szCs w:val="20"/>
        </w:rPr>
        <w:t>qui précise :</w:t>
      </w:r>
    </w:p>
    <w:p w14:paraId="069C2513" w14:textId="77777777" w:rsidR="00D675F0" w:rsidRPr="00202498" w:rsidRDefault="00D675F0" w:rsidP="00D675F0">
      <w:pPr>
        <w:jc w:val="both"/>
        <w:rPr>
          <w:rFonts w:ascii="Arial" w:hAnsi="Arial" w:cs="Arial"/>
          <w:sz w:val="20"/>
          <w:szCs w:val="20"/>
        </w:rPr>
      </w:pPr>
      <w:r w:rsidRPr="00202498">
        <w:rPr>
          <w:rFonts w:ascii="Arial" w:hAnsi="Arial" w:cs="Arial"/>
          <w:sz w:val="20"/>
          <w:szCs w:val="20"/>
        </w:rPr>
        <w:t>5° L’article 293 B est ainsi modifié :</w:t>
      </w:r>
    </w:p>
    <w:p w14:paraId="2F46EE18" w14:textId="77777777" w:rsidR="00D675F0" w:rsidRPr="00202498" w:rsidRDefault="00D675F0" w:rsidP="00D675F0">
      <w:pPr>
        <w:jc w:val="both"/>
        <w:rPr>
          <w:rFonts w:ascii="Arial" w:hAnsi="Arial" w:cs="Arial"/>
          <w:sz w:val="20"/>
          <w:szCs w:val="20"/>
        </w:rPr>
      </w:pPr>
      <w:r w:rsidRPr="00202498">
        <w:rPr>
          <w:rFonts w:ascii="Arial" w:hAnsi="Arial" w:cs="Arial"/>
          <w:i/>
          <w:iCs/>
          <w:sz w:val="20"/>
          <w:szCs w:val="20"/>
        </w:rPr>
        <w:t>a)</w:t>
      </w:r>
      <w:r w:rsidRPr="00202498">
        <w:rPr>
          <w:rFonts w:ascii="Arial" w:hAnsi="Arial" w:cs="Arial"/>
          <w:sz w:val="20"/>
          <w:szCs w:val="20"/>
        </w:rPr>
        <w:t> Le tableau du second alinéa du I est ainsi rédigé :</w:t>
      </w:r>
    </w:p>
    <w:tbl>
      <w:tblPr>
        <w:tblW w:w="9206" w:type="dxa"/>
        <w:tblCellMar>
          <w:left w:w="0" w:type="dxa"/>
          <w:right w:w="0" w:type="dxa"/>
        </w:tblCellMar>
        <w:tblLook w:val="04A0" w:firstRow="1" w:lastRow="0" w:firstColumn="1" w:lastColumn="0" w:noHBand="0" w:noVBand="1"/>
      </w:tblPr>
      <w:tblGrid>
        <w:gridCol w:w="5013"/>
        <w:gridCol w:w="4193"/>
      </w:tblGrid>
      <w:tr w:rsidR="00D675F0" w:rsidRPr="00202498" w14:paraId="7AA70D21" w14:textId="77777777" w:rsidTr="000C23F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28DE4B" w14:textId="77777777" w:rsidR="00D675F0" w:rsidRPr="00202498" w:rsidRDefault="00D675F0" w:rsidP="000C23F9">
            <w:pPr>
              <w:jc w:val="both"/>
              <w:rPr>
                <w:rFonts w:ascii="Arial" w:hAnsi="Arial" w:cs="Arial"/>
                <w:sz w:val="20"/>
                <w:szCs w:val="20"/>
              </w:rPr>
            </w:pPr>
            <w:r w:rsidRPr="00202498">
              <w:rPr>
                <w:rFonts w:ascii="Arial" w:hAnsi="Arial" w:cs="Arial"/>
                <w:sz w:val="20"/>
                <w:szCs w:val="20"/>
              </w:rPr>
              <w:t>Année d’évaluation</w:t>
            </w:r>
          </w:p>
        </w:tc>
        <w:tc>
          <w:tcPr>
            <w:tcW w:w="41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E4B956" w14:textId="77777777" w:rsidR="00D675F0" w:rsidRPr="00202498" w:rsidRDefault="00D675F0" w:rsidP="000C23F9">
            <w:pPr>
              <w:jc w:val="both"/>
              <w:rPr>
                <w:rFonts w:ascii="Arial" w:hAnsi="Arial" w:cs="Arial"/>
                <w:sz w:val="20"/>
                <w:szCs w:val="20"/>
              </w:rPr>
            </w:pPr>
            <w:r w:rsidRPr="00202498">
              <w:rPr>
                <w:rFonts w:ascii="Arial" w:hAnsi="Arial" w:cs="Arial"/>
                <w:sz w:val="20"/>
                <w:szCs w:val="20"/>
              </w:rPr>
              <w:t>Chiffre d’affaires national total</w:t>
            </w:r>
          </w:p>
        </w:tc>
      </w:tr>
      <w:tr w:rsidR="00D675F0" w:rsidRPr="00202498" w14:paraId="527F5727" w14:textId="77777777" w:rsidTr="000C23F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AF929C" w14:textId="77777777" w:rsidR="00D675F0" w:rsidRPr="00202498" w:rsidRDefault="00D675F0" w:rsidP="000C23F9">
            <w:pPr>
              <w:jc w:val="both"/>
              <w:rPr>
                <w:rFonts w:ascii="Arial" w:hAnsi="Arial" w:cs="Arial"/>
                <w:sz w:val="20"/>
                <w:szCs w:val="20"/>
              </w:rPr>
            </w:pPr>
            <w:r w:rsidRPr="00202498">
              <w:rPr>
                <w:rFonts w:ascii="Arial" w:hAnsi="Arial" w:cs="Arial"/>
                <w:sz w:val="20"/>
                <w:szCs w:val="20"/>
              </w:rPr>
              <w:t>Année civile précédente</w:t>
            </w:r>
          </w:p>
        </w:tc>
        <w:tc>
          <w:tcPr>
            <w:tcW w:w="41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9872F7" w14:textId="77777777" w:rsidR="00D675F0" w:rsidRPr="00202498" w:rsidRDefault="00D675F0" w:rsidP="000C23F9">
            <w:pPr>
              <w:jc w:val="both"/>
              <w:rPr>
                <w:rFonts w:ascii="Arial" w:hAnsi="Arial" w:cs="Arial"/>
                <w:sz w:val="20"/>
                <w:szCs w:val="20"/>
              </w:rPr>
            </w:pPr>
            <w:r w:rsidRPr="00202498">
              <w:rPr>
                <w:rFonts w:ascii="Arial" w:hAnsi="Arial" w:cs="Arial"/>
                <w:sz w:val="20"/>
                <w:szCs w:val="20"/>
              </w:rPr>
              <w:t>25 000</w:t>
            </w:r>
          </w:p>
        </w:tc>
      </w:tr>
      <w:tr w:rsidR="00D675F0" w:rsidRPr="00202498" w14:paraId="543145AB" w14:textId="77777777" w:rsidTr="000C23F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3F62E2" w14:textId="77777777" w:rsidR="00D675F0" w:rsidRPr="00202498" w:rsidRDefault="00D675F0" w:rsidP="000C23F9">
            <w:pPr>
              <w:jc w:val="both"/>
              <w:rPr>
                <w:rFonts w:ascii="Arial" w:hAnsi="Arial" w:cs="Arial"/>
                <w:sz w:val="20"/>
                <w:szCs w:val="20"/>
              </w:rPr>
            </w:pPr>
            <w:r w:rsidRPr="00202498">
              <w:rPr>
                <w:rFonts w:ascii="Arial" w:hAnsi="Arial" w:cs="Arial"/>
                <w:sz w:val="20"/>
                <w:szCs w:val="20"/>
              </w:rPr>
              <w:t>Année en cours</w:t>
            </w:r>
          </w:p>
        </w:tc>
        <w:tc>
          <w:tcPr>
            <w:tcW w:w="41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C171A2" w14:textId="77777777" w:rsidR="00D675F0" w:rsidRPr="00202498" w:rsidRDefault="00D675F0" w:rsidP="000C23F9">
            <w:pPr>
              <w:jc w:val="both"/>
              <w:rPr>
                <w:rFonts w:ascii="Arial" w:hAnsi="Arial" w:cs="Arial"/>
                <w:sz w:val="20"/>
                <w:szCs w:val="20"/>
              </w:rPr>
            </w:pPr>
            <w:r w:rsidRPr="00202498">
              <w:rPr>
                <w:rFonts w:ascii="Arial" w:hAnsi="Arial" w:cs="Arial"/>
                <w:sz w:val="20"/>
                <w:szCs w:val="20"/>
              </w:rPr>
              <w:t>27 500</w:t>
            </w:r>
          </w:p>
        </w:tc>
      </w:tr>
    </w:tbl>
    <w:p w14:paraId="014A87AB" w14:textId="77777777" w:rsidR="00D675F0" w:rsidRPr="00CE3D21" w:rsidRDefault="00D675F0" w:rsidP="00D675F0">
      <w:pPr>
        <w:jc w:val="both"/>
        <w:rPr>
          <w:rFonts w:ascii="Arial" w:hAnsi="Arial" w:cs="Arial"/>
          <w:i/>
          <w:iCs/>
          <w:sz w:val="20"/>
          <w:szCs w:val="20"/>
        </w:rPr>
      </w:pPr>
    </w:p>
    <w:p w14:paraId="234356BB" w14:textId="77777777" w:rsidR="00D675F0" w:rsidRPr="00202498" w:rsidRDefault="00D675F0" w:rsidP="00D675F0">
      <w:pPr>
        <w:jc w:val="both"/>
        <w:rPr>
          <w:rFonts w:ascii="Arial" w:hAnsi="Arial" w:cs="Arial"/>
          <w:sz w:val="20"/>
          <w:szCs w:val="20"/>
        </w:rPr>
      </w:pPr>
      <w:r w:rsidRPr="00202498">
        <w:rPr>
          <w:rFonts w:ascii="Arial" w:hAnsi="Arial" w:cs="Arial"/>
          <w:i/>
          <w:iCs/>
          <w:sz w:val="20"/>
          <w:szCs w:val="20"/>
        </w:rPr>
        <w:t>b)</w:t>
      </w:r>
      <w:r w:rsidRPr="00202498">
        <w:rPr>
          <w:rFonts w:ascii="Arial" w:hAnsi="Arial" w:cs="Arial"/>
          <w:sz w:val="20"/>
          <w:szCs w:val="20"/>
        </w:rPr>
        <w:t> Le II est ainsi rédigé :</w:t>
      </w:r>
    </w:p>
    <w:p w14:paraId="696312D5" w14:textId="77777777" w:rsidR="00D675F0" w:rsidRPr="00202498" w:rsidRDefault="00D675F0" w:rsidP="00D675F0">
      <w:pPr>
        <w:jc w:val="both"/>
        <w:rPr>
          <w:rFonts w:ascii="Arial" w:hAnsi="Arial" w:cs="Arial"/>
          <w:sz w:val="20"/>
          <w:szCs w:val="20"/>
        </w:rPr>
      </w:pPr>
      <w:r w:rsidRPr="00202498">
        <w:rPr>
          <w:rFonts w:ascii="Arial" w:hAnsi="Arial" w:cs="Arial"/>
          <w:sz w:val="20"/>
          <w:szCs w:val="20"/>
        </w:rPr>
        <w:t>« II. – Lorsque le plafond de chiffre d’affaires prévu pour les opérations de l’année en cours est dépassé, la franchise mentionnée au I cesse de s’appliquer aux opérations intervenant à compter de la date du dépassement. » ;</w:t>
      </w:r>
    </w:p>
    <w:p w14:paraId="18D664FD" w14:textId="77777777" w:rsidR="00D675F0" w:rsidRPr="00202498" w:rsidRDefault="00D675F0" w:rsidP="00D675F0">
      <w:pPr>
        <w:jc w:val="both"/>
        <w:rPr>
          <w:rFonts w:ascii="Arial" w:hAnsi="Arial" w:cs="Arial"/>
          <w:b/>
          <w:bCs/>
          <w:color w:val="FF0000"/>
          <w:sz w:val="20"/>
          <w:szCs w:val="20"/>
        </w:rPr>
      </w:pPr>
      <w:r w:rsidRPr="00202498">
        <w:rPr>
          <w:rFonts w:ascii="Arial" w:hAnsi="Arial" w:cs="Arial"/>
          <w:b/>
          <w:bCs/>
          <w:i/>
          <w:iCs/>
          <w:color w:val="FF0000"/>
          <w:sz w:val="20"/>
          <w:szCs w:val="20"/>
        </w:rPr>
        <w:t>c)</w:t>
      </w:r>
      <w:r w:rsidRPr="00202498">
        <w:rPr>
          <w:rFonts w:ascii="Arial" w:hAnsi="Arial" w:cs="Arial"/>
          <w:b/>
          <w:bCs/>
          <w:color w:val="FF0000"/>
          <w:sz w:val="20"/>
          <w:szCs w:val="20"/>
        </w:rPr>
        <w:t> le III est abrogé ;</w:t>
      </w:r>
    </w:p>
    <w:p w14:paraId="73ECF368" w14:textId="77777777" w:rsidR="00D675F0" w:rsidRDefault="00D675F0" w:rsidP="00D675F0">
      <w:pPr>
        <w:jc w:val="both"/>
        <w:rPr>
          <w:rFonts w:ascii="Arial" w:hAnsi="Arial" w:cs="Arial"/>
          <w:sz w:val="20"/>
          <w:szCs w:val="20"/>
        </w:rPr>
      </w:pPr>
      <w:r w:rsidRPr="00202498">
        <w:rPr>
          <w:rFonts w:ascii="Arial" w:hAnsi="Arial" w:cs="Arial"/>
          <w:sz w:val="20"/>
          <w:szCs w:val="20"/>
        </w:rPr>
        <w:t>6° Au premier alinéa du III de l’article 293 B </w:t>
      </w:r>
      <w:r w:rsidRPr="00202498">
        <w:rPr>
          <w:rFonts w:ascii="Arial" w:hAnsi="Arial" w:cs="Arial"/>
          <w:i/>
          <w:iCs/>
          <w:sz w:val="20"/>
          <w:szCs w:val="20"/>
        </w:rPr>
        <w:t>bis</w:t>
      </w:r>
      <w:r w:rsidRPr="00202498">
        <w:rPr>
          <w:rFonts w:ascii="Arial" w:hAnsi="Arial" w:cs="Arial"/>
          <w:sz w:val="20"/>
          <w:szCs w:val="20"/>
        </w:rPr>
        <w:t>, la référence : « III » est remplacée par la référence : « II » ;</w:t>
      </w:r>
    </w:p>
    <w:p w14:paraId="34AE6751" w14:textId="77777777" w:rsidR="008A4D74" w:rsidRDefault="008A4D74" w:rsidP="00E627DA">
      <w:pPr>
        <w:jc w:val="both"/>
        <w:rPr>
          <w:rFonts w:ascii="Arial" w:hAnsi="Arial" w:cs="Arial"/>
          <w:sz w:val="20"/>
          <w:szCs w:val="20"/>
        </w:rPr>
      </w:pPr>
    </w:p>
    <w:p w14:paraId="291A230A" w14:textId="09F2E0F9" w:rsidR="00CC1940" w:rsidRPr="00CC1940" w:rsidRDefault="00CC1940" w:rsidP="0051238D">
      <w:pPr>
        <w:rPr>
          <w:rFonts w:ascii="Arial" w:hAnsi="Arial" w:cs="Arial"/>
          <w:sz w:val="24"/>
          <w:szCs w:val="24"/>
        </w:rPr>
      </w:pPr>
      <w:r>
        <w:rPr>
          <w:rFonts w:ascii="Arial" w:hAnsi="Arial" w:cs="Arial"/>
          <w:sz w:val="24"/>
          <w:szCs w:val="24"/>
        </w:rPr>
        <w:tab/>
      </w:r>
    </w:p>
    <w:sectPr w:rsidR="00CC1940" w:rsidRPr="00CC1940" w:rsidSect="006E0B88">
      <w:footerReference w:type="default" r:id="rId17"/>
      <w:pgSz w:w="11906" w:h="16838"/>
      <w:pgMar w:top="993" w:right="991" w:bottom="1843"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4C3A" w14:textId="77777777" w:rsidR="00137CE7" w:rsidRDefault="00137CE7" w:rsidP="0071271C">
      <w:pPr>
        <w:spacing w:after="0" w:line="240" w:lineRule="auto"/>
      </w:pPr>
      <w:r>
        <w:separator/>
      </w:r>
    </w:p>
  </w:endnote>
  <w:endnote w:type="continuationSeparator" w:id="0">
    <w:p w14:paraId="05BBEEE7" w14:textId="77777777" w:rsidR="00137CE7" w:rsidRDefault="00137CE7" w:rsidP="0071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674045"/>
      <w:docPartObj>
        <w:docPartGallery w:val="Page Numbers (Bottom of Page)"/>
        <w:docPartUnique/>
      </w:docPartObj>
    </w:sdtPr>
    <w:sdtEndPr/>
    <w:sdtContent>
      <w:sdt>
        <w:sdtPr>
          <w:id w:val="-1769616900"/>
          <w:docPartObj>
            <w:docPartGallery w:val="Page Numbers (Top of Page)"/>
            <w:docPartUnique/>
          </w:docPartObj>
        </w:sdtPr>
        <w:sdtEndPr/>
        <w:sdtContent>
          <w:p w14:paraId="539004F5" w14:textId="21CF65AC" w:rsidR="002E5C2D" w:rsidRDefault="002E5C2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D1A20E" w14:textId="3E801AC6" w:rsidR="0071271C" w:rsidRPr="0082793A" w:rsidRDefault="0071271C">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504C" w14:textId="77777777" w:rsidR="00137CE7" w:rsidRDefault="00137CE7" w:rsidP="0071271C">
      <w:pPr>
        <w:spacing w:after="0" w:line="240" w:lineRule="auto"/>
      </w:pPr>
      <w:r>
        <w:separator/>
      </w:r>
    </w:p>
  </w:footnote>
  <w:footnote w:type="continuationSeparator" w:id="0">
    <w:p w14:paraId="4E34360A" w14:textId="77777777" w:rsidR="00137CE7" w:rsidRDefault="00137CE7" w:rsidP="00712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9F3"/>
    <w:multiLevelType w:val="multilevel"/>
    <w:tmpl w:val="1E66A7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EE1000"/>
    <w:multiLevelType w:val="multilevel"/>
    <w:tmpl w:val="0540A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1876827">
    <w:abstractNumId w:val="1"/>
  </w:num>
  <w:num w:numId="2" w16cid:durableId="77352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40"/>
    <w:rsid w:val="00004B28"/>
    <w:rsid w:val="00026FC0"/>
    <w:rsid w:val="000357F3"/>
    <w:rsid w:val="00037312"/>
    <w:rsid w:val="0003742D"/>
    <w:rsid w:val="00057FE1"/>
    <w:rsid w:val="00060600"/>
    <w:rsid w:val="000673B3"/>
    <w:rsid w:val="00080A8B"/>
    <w:rsid w:val="0008502D"/>
    <w:rsid w:val="0008603A"/>
    <w:rsid w:val="000916AB"/>
    <w:rsid w:val="000963FA"/>
    <w:rsid w:val="000F79E8"/>
    <w:rsid w:val="00100534"/>
    <w:rsid w:val="001173FB"/>
    <w:rsid w:val="001329B6"/>
    <w:rsid w:val="00137CE7"/>
    <w:rsid w:val="00146655"/>
    <w:rsid w:val="001548BB"/>
    <w:rsid w:val="0016145D"/>
    <w:rsid w:val="00171CF7"/>
    <w:rsid w:val="0017452C"/>
    <w:rsid w:val="001D76E8"/>
    <w:rsid w:val="001F07FA"/>
    <w:rsid w:val="001F7663"/>
    <w:rsid w:val="00202498"/>
    <w:rsid w:val="00213E43"/>
    <w:rsid w:val="00222750"/>
    <w:rsid w:val="002371F0"/>
    <w:rsid w:val="002414BA"/>
    <w:rsid w:val="00255D48"/>
    <w:rsid w:val="00271725"/>
    <w:rsid w:val="00294384"/>
    <w:rsid w:val="002A21E9"/>
    <w:rsid w:val="002B695C"/>
    <w:rsid w:val="002C068E"/>
    <w:rsid w:val="002E5C2D"/>
    <w:rsid w:val="002E693E"/>
    <w:rsid w:val="002F2D1A"/>
    <w:rsid w:val="002F52A0"/>
    <w:rsid w:val="00317A39"/>
    <w:rsid w:val="00332240"/>
    <w:rsid w:val="00340BA6"/>
    <w:rsid w:val="0034284E"/>
    <w:rsid w:val="00347AA3"/>
    <w:rsid w:val="0036788A"/>
    <w:rsid w:val="0038063C"/>
    <w:rsid w:val="003B7399"/>
    <w:rsid w:val="003C7A50"/>
    <w:rsid w:val="004040FE"/>
    <w:rsid w:val="004140AB"/>
    <w:rsid w:val="00424F4A"/>
    <w:rsid w:val="00436323"/>
    <w:rsid w:val="00441581"/>
    <w:rsid w:val="00445DE7"/>
    <w:rsid w:val="0045076B"/>
    <w:rsid w:val="00453566"/>
    <w:rsid w:val="004721CD"/>
    <w:rsid w:val="00482D4D"/>
    <w:rsid w:val="004862E0"/>
    <w:rsid w:val="00492512"/>
    <w:rsid w:val="0049750A"/>
    <w:rsid w:val="004A1771"/>
    <w:rsid w:val="004A2B91"/>
    <w:rsid w:val="0051238D"/>
    <w:rsid w:val="00521EF9"/>
    <w:rsid w:val="00526BB9"/>
    <w:rsid w:val="00531C26"/>
    <w:rsid w:val="0054217B"/>
    <w:rsid w:val="005777EE"/>
    <w:rsid w:val="00591EDF"/>
    <w:rsid w:val="005A5B9F"/>
    <w:rsid w:val="005C2514"/>
    <w:rsid w:val="005F2D21"/>
    <w:rsid w:val="0061527F"/>
    <w:rsid w:val="0062318F"/>
    <w:rsid w:val="0062322B"/>
    <w:rsid w:val="00635B0A"/>
    <w:rsid w:val="0066404A"/>
    <w:rsid w:val="00677959"/>
    <w:rsid w:val="006922D8"/>
    <w:rsid w:val="00696923"/>
    <w:rsid w:val="006B58C1"/>
    <w:rsid w:val="006E0B88"/>
    <w:rsid w:val="006E2A28"/>
    <w:rsid w:val="006F02C5"/>
    <w:rsid w:val="007018C0"/>
    <w:rsid w:val="0071271C"/>
    <w:rsid w:val="0076477F"/>
    <w:rsid w:val="00787572"/>
    <w:rsid w:val="00795C3A"/>
    <w:rsid w:val="0079636C"/>
    <w:rsid w:val="007A49B5"/>
    <w:rsid w:val="007B0CC1"/>
    <w:rsid w:val="007E7AA9"/>
    <w:rsid w:val="007F122A"/>
    <w:rsid w:val="007F1B69"/>
    <w:rsid w:val="008011B6"/>
    <w:rsid w:val="0080582A"/>
    <w:rsid w:val="00820D95"/>
    <w:rsid w:val="008221FB"/>
    <w:rsid w:val="00824C94"/>
    <w:rsid w:val="00827545"/>
    <w:rsid w:val="0082793A"/>
    <w:rsid w:val="0083327F"/>
    <w:rsid w:val="0083432A"/>
    <w:rsid w:val="00884894"/>
    <w:rsid w:val="008927AD"/>
    <w:rsid w:val="00894E04"/>
    <w:rsid w:val="008A2B7C"/>
    <w:rsid w:val="008A4D74"/>
    <w:rsid w:val="008C5A19"/>
    <w:rsid w:val="008E3DED"/>
    <w:rsid w:val="008F1098"/>
    <w:rsid w:val="00930BCE"/>
    <w:rsid w:val="0093358B"/>
    <w:rsid w:val="0095621F"/>
    <w:rsid w:val="00962856"/>
    <w:rsid w:val="00982190"/>
    <w:rsid w:val="009A160E"/>
    <w:rsid w:val="009B1014"/>
    <w:rsid w:val="009D649E"/>
    <w:rsid w:val="009E1399"/>
    <w:rsid w:val="009E261C"/>
    <w:rsid w:val="009E6337"/>
    <w:rsid w:val="009F6EC5"/>
    <w:rsid w:val="00A22DE4"/>
    <w:rsid w:val="00A31F62"/>
    <w:rsid w:val="00A5361E"/>
    <w:rsid w:val="00A751C6"/>
    <w:rsid w:val="00A77221"/>
    <w:rsid w:val="00A90AF9"/>
    <w:rsid w:val="00AB495D"/>
    <w:rsid w:val="00AC65DC"/>
    <w:rsid w:val="00AF32EC"/>
    <w:rsid w:val="00B03B81"/>
    <w:rsid w:val="00B22322"/>
    <w:rsid w:val="00B42A32"/>
    <w:rsid w:val="00B47714"/>
    <w:rsid w:val="00B51B21"/>
    <w:rsid w:val="00B542F5"/>
    <w:rsid w:val="00B83D9F"/>
    <w:rsid w:val="00B90DFE"/>
    <w:rsid w:val="00BA061E"/>
    <w:rsid w:val="00BC4391"/>
    <w:rsid w:val="00BD4A40"/>
    <w:rsid w:val="00BF72E6"/>
    <w:rsid w:val="00C328F6"/>
    <w:rsid w:val="00C40A42"/>
    <w:rsid w:val="00C60046"/>
    <w:rsid w:val="00C634C3"/>
    <w:rsid w:val="00C70C18"/>
    <w:rsid w:val="00C73D10"/>
    <w:rsid w:val="00C81B00"/>
    <w:rsid w:val="00C92DCB"/>
    <w:rsid w:val="00CB0120"/>
    <w:rsid w:val="00CC1940"/>
    <w:rsid w:val="00CC6AC7"/>
    <w:rsid w:val="00CD41BE"/>
    <w:rsid w:val="00CE3D21"/>
    <w:rsid w:val="00CE435D"/>
    <w:rsid w:val="00CF54B6"/>
    <w:rsid w:val="00D0355E"/>
    <w:rsid w:val="00D10A83"/>
    <w:rsid w:val="00D14A9F"/>
    <w:rsid w:val="00D15B0C"/>
    <w:rsid w:val="00D15F50"/>
    <w:rsid w:val="00D40870"/>
    <w:rsid w:val="00D5343D"/>
    <w:rsid w:val="00D675F0"/>
    <w:rsid w:val="00D9777A"/>
    <w:rsid w:val="00DB6947"/>
    <w:rsid w:val="00DF443A"/>
    <w:rsid w:val="00E05A3A"/>
    <w:rsid w:val="00E07F79"/>
    <w:rsid w:val="00E14EF6"/>
    <w:rsid w:val="00E35D0A"/>
    <w:rsid w:val="00E4442D"/>
    <w:rsid w:val="00E5525F"/>
    <w:rsid w:val="00E627DA"/>
    <w:rsid w:val="00E91D67"/>
    <w:rsid w:val="00E92539"/>
    <w:rsid w:val="00E94883"/>
    <w:rsid w:val="00EA32C7"/>
    <w:rsid w:val="00EB065C"/>
    <w:rsid w:val="00ED32C4"/>
    <w:rsid w:val="00ED4186"/>
    <w:rsid w:val="00EF6F6C"/>
    <w:rsid w:val="00F07580"/>
    <w:rsid w:val="00F20ED4"/>
    <w:rsid w:val="00F27E06"/>
    <w:rsid w:val="00F41ED7"/>
    <w:rsid w:val="00F557FA"/>
    <w:rsid w:val="00F57F16"/>
    <w:rsid w:val="00F65569"/>
    <w:rsid w:val="00FB03FE"/>
    <w:rsid w:val="00FB4AA5"/>
    <w:rsid w:val="00FC3AFB"/>
    <w:rsid w:val="00FC68D5"/>
    <w:rsid w:val="00FD6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A839"/>
  <w15:chartTrackingRefBased/>
  <w15:docId w15:val="{8F3C89ED-485F-4986-8281-32184672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2498"/>
    <w:rPr>
      <w:color w:val="0563C1" w:themeColor="hyperlink"/>
      <w:u w:val="single"/>
    </w:rPr>
  </w:style>
  <w:style w:type="character" w:styleId="Mentionnonrsolue">
    <w:name w:val="Unresolved Mention"/>
    <w:basedOn w:val="Policepardfaut"/>
    <w:uiPriority w:val="99"/>
    <w:semiHidden/>
    <w:unhideWhenUsed/>
    <w:rsid w:val="00202498"/>
    <w:rPr>
      <w:color w:val="605E5C"/>
      <w:shd w:val="clear" w:color="auto" w:fill="E1DFDD"/>
    </w:rPr>
  </w:style>
  <w:style w:type="character" w:styleId="Lienhypertextesuivivisit">
    <w:name w:val="FollowedHyperlink"/>
    <w:basedOn w:val="Policepardfaut"/>
    <w:uiPriority w:val="99"/>
    <w:semiHidden/>
    <w:unhideWhenUsed/>
    <w:rsid w:val="00317A39"/>
    <w:rPr>
      <w:color w:val="954F72" w:themeColor="followedHyperlink"/>
      <w:u w:val="single"/>
    </w:rPr>
  </w:style>
  <w:style w:type="paragraph" w:styleId="En-tte">
    <w:name w:val="header"/>
    <w:basedOn w:val="Normal"/>
    <w:link w:val="En-tteCar"/>
    <w:uiPriority w:val="99"/>
    <w:unhideWhenUsed/>
    <w:rsid w:val="0071271C"/>
    <w:pPr>
      <w:tabs>
        <w:tab w:val="center" w:pos="4536"/>
        <w:tab w:val="right" w:pos="9072"/>
      </w:tabs>
      <w:spacing w:after="0" w:line="240" w:lineRule="auto"/>
    </w:pPr>
  </w:style>
  <w:style w:type="character" w:customStyle="1" w:styleId="En-tteCar">
    <w:name w:val="En-tête Car"/>
    <w:basedOn w:val="Policepardfaut"/>
    <w:link w:val="En-tte"/>
    <w:uiPriority w:val="99"/>
    <w:rsid w:val="0071271C"/>
  </w:style>
  <w:style w:type="paragraph" w:styleId="Pieddepage">
    <w:name w:val="footer"/>
    <w:basedOn w:val="Normal"/>
    <w:link w:val="PieddepageCar"/>
    <w:uiPriority w:val="99"/>
    <w:unhideWhenUsed/>
    <w:rsid w:val="007127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71C"/>
  </w:style>
  <w:style w:type="paragraph" w:styleId="Notedefin">
    <w:name w:val="endnote text"/>
    <w:basedOn w:val="Normal"/>
    <w:link w:val="NotedefinCar"/>
    <w:uiPriority w:val="99"/>
    <w:semiHidden/>
    <w:unhideWhenUsed/>
    <w:rsid w:val="00B42A32"/>
    <w:pPr>
      <w:spacing w:after="0" w:line="240" w:lineRule="auto"/>
    </w:pPr>
    <w:rPr>
      <w:sz w:val="20"/>
      <w:szCs w:val="20"/>
    </w:rPr>
  </w:style>
  <w:style w:type="character" w:customStyle="1" w:styleId="NotedefinCar">
    <w:name w:val="Note de fin Car"/>
    <w:basedOn w:val="Policepardfaut"/>
    <w:link w:val="Notedefin"/>
    <w:uiPriority w:val="99"/>
    <w:semiHidden/>
    <w:rsid w:val="00B42A32"/>
    <w:rPr>
      <w:sz w:val="20"/>
      <w:szCs w:val="20"/>
    </w:rPr>
  </w:style>
  <w:style w:type="character" w:styleId="Appeldenotedefin">
    <w:name w:val="endnote reference"/>
    <w:basedOn w:val="Policepardfaut"/>
    <w:uiPriority w:val="99"/>
    <w:semiHidden/>
    <w:unhideWhenUsed/>
    <w:rsid w:val="00B42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8786">
      <w:bodyDiv w:val="1"/>
      <w:marLeft w:val="0"/>
      <w:marRight w:val="0"/>
      <w:marTop w:val="0"/>
      <w:marBottom w:val="0"/>
      <w:divBdr>
        <w:top w:val="none" w:sz="0" w:space="0" w:color="auto"/>
        <w:left w:val="none" w:sz="0" w:space="0" w:color="auto"/>
        <w:bottom w:val="none" w:sz="0" w:space="0" w:color="auto"/>
        <w:right w:val="none" w:sz="0" w:space="0" w:color="auto"/>
      </w:divBdr>
    </w:div>
    <w:div w:id="315426080">
      <w:bodyDiv w:val="1"/>
      <w:marLeft w:val="0"/>
      <w:marRight w:val="0"/>
      <w:marTop w:val="0"/>
      <w:marBottom w:val="0"/>
      <w:divBdr>
        <w:top w:val="none" w:sz="0" w:space="0" w:color="auto"/>
        <w:left w:val="none" w:sz="0" w:space="0" w:color="auto"/>
        <w:bottom w:val="none" w:sz="0" w:space="0" w:color="auto"/>
        <w:right w:val="none" w:sz="0" w:space="0" w:color="auto"/>
      </w:divBdr>
    </w:div>
    <w:div w:id="846750629">
      <w:bodyDiv w:val="1"/>
      <w:marLeft w:val="0"/>
      <w:marRight w:val="0"/>
      <w:marTop w:val="0"/>
      <w:marBottom w:val="0"/>
      <w:divBdr>
        <w:top w:val="none" w:sz="0" w:space="0" w:color="auto"/>
        <w:left w:val="none" w:sz="0" w:space="0" w:color="auto"/>
        <w:bottom w:val="none" w:sz="0" w:space="0" w:color="auto"/>
        <w:right w:val="none" w:sz="0" w:space="0" w:color="auto"/>
      </w:divBdr>
      <w:divsChild>
        <w:div w:id="1025254961">
          <w:marLeft w:val="0"/>
          <w:marRight w:val="0"/>
          <w:marTop w:val="0"/>
          <w:marBottom w:val="0"/>
          <w:divBdr>
            <w:top w:val="none" w:sz="0" w:space="0" w:color="auto"/>
            <w:left w:val="none" w:sz="0" w:space="0" w:color="auto"/>
            <w:bottom w:val="none" w:sz="0" w:space="0" w:color="auto"/>
            <w:right w:val="none" w:sz="0" w:space="0" w:color="auto"/>
          </w:divBdr>
        </w:div>
      </w:divsChild>
    </w:div>
    <w:div w:id="864100153">
      <w:bodyDiv w:val="1"/>
      <w:marLeft w:val="0"/>
      <w:marRight w:val="0"/>
      <w:marTop w:val="0"/>
      <w:marBottom w:val="0"/>
      <w:divBdr>
        <w:top w:val="none" w:sz="0" w:space="0" w:color="auto"/>
        <w:left w:val="none" w:sz="0" w:space="0" w:color="auto"/>
        <w:bottom w:val="none" w:sz="0" w:space="0" w:color="auto"/>
        <w:right w:val="none" w:sz="0" w:space="0" w:color="auto"/>
      </w:divBdr>
    </w:div>
    <w:div w:id="1214582506">
      <w:bodyDiv w:val="1"/>
      <w:marLeft w:val="0"/>
      <w:marRight w:val="0"/>
      <w:marTop w:val="0"/>
      <w:marBottom w:val="0"/>
      <w:divBdr>
        <w:top w:val="none" w:sz="0" w:space="0" w:color="auto"/>
        <w:left w:val="none" w:sz="0" w:space="0" w:color="auto"/>
        <w:bottom w:val="none" w:sz="0" w:space="0" w:color="auto"/>
        <w:right w:val="none" w:sz="0" w:space="0" w:color="auto"/>
      </w:divBdr>
      <w:divsChild>
        <w:div w:id="695615668">
          <w:marLeft w:val="0"/>
          <w:marRight w:val="0"/>
          <w:marTop w:val="0"/>
          <w:marBottom w:val="0"/>
          <w:divBdr>
            <w:top w:val="none" w:sz="0" w:space="0" w:color="auto"/>
            <w:left w:val="none" w:sz="0" w:space="0" w:color="auto"/>
            <w:bottom w:val="none" w:sz="0" w:space="0" w:color="auto"/>
            <w:right w:val="none" w:sz="0" w:space="0" w:color="auto"/>
          </w:divBdr>
        </w:div>
        <w:div w:id="1085031190">
          <w:marLeft w:val="0"/>
          <w:marRight w:val="0"/>
          <w:marTop w:val="0"/>
          <w:marBottom w:val="0"/>
          <w:divBdr>
            <w:top w:val="none" w:sz="0" w:space="0" w:color="auto"/>
            <w:left w:val="none" w:sz="0" w:space="0" w:color="auto"/>
            <w:bottom w:val="none" w:sz="0" w:space="0" w:color="auto"/>
            <w:right w:val="none" w:sz="0" w:space="0" w:color="auto"/>
          </w:divBdr>
        </w:div>
      </w:divsChild>
    </w:div>
    <w:div w:id="1425806420">
      <w:bodyDiv w:val="1"/>
      <w:marLeft w:val="0"/>
      <w:marRight w:val="0"/>
      <w:marTop w:val="0"/>
      <w:marBottom w:val="0"/>
      <w:divBdr>
        <w:top w:val="none" w:sz="0" w:space="0" w:color="auto"/>
        <w:left w:val="none" w:sz="0" w:space="0" w:color="auto"/>
        <w:bottom w:val="none" w:sz="0" w:space="0" w:color="auto"/>
        <w:right w:val="none" w:sz="0" w:space="0" w:color="auto"/>
      </w:divBdr>
      <w:divsChild>
        <w:div w:id="91099074">
          <w:marLeft w:val="0"/>
          <w:marRight w:val="0"/>
          <w:marTop w:val="0"/>
          <w:marBottom w:val="0"/>
          <w:divBdr>
            <w:top w:val="none" w:sz="0" w:space="0" w:color="auto"/>
            <w:left w:val="none" w:sz="0" w:space="0" w:color="auto"/>
            <w:bottom w:val="none" w:sz="0" w:space="0" w:color="auto"/>
            <w:right w:val="none" w:sz="0" w:space="0" w:color="auto"/>
          </w:divBdr>
        </w:div>
        <w:div w:id="574165416">
          <w:marLeft w:val="0"/>
          <w:marRight w:val="0"/>
          <w:marTop w:val="0"/>
          <w:marBottom w:val="0"/>
          <w:divBdr>
            <w:top w:val="none" w:sz="0" w:space="0" w:color="auto"/>
            <w:left w:val="none" w:sz="0" w:space="0" w:color="auto"/>
            <w:bottom w:val="none" w:sz="0" w:space="0" w:color="auto"/>
            <w:right w:val="none" w:sz="0" w:space="0" w:color="auto"/>
          </w:divBdr>
        </w:div>
      </w:divsChild>
    </w:div>
    <w:div w:id="1438988201">
      <w:bodyDiv w:val="1"/>
      <w:marLeft w:val="0"/>
      <w:marRight w:val="0"/>
      <w:marTop w:val="0"/>
      <w:marBottom w:val="0"/>
      <w:divBdr>
        <w:top w:val="none" w:sz="0" w:space="0" w:color="auto"/>
        <w:left w:val="none" w:sz="0" w:space="0" w:color="auto"/>
        <w:bottom w:val="none" w:sz="0" w:space="0" w:color="auto"/>
        <w:right w:val="none" w:sz="0" w:space="0" w:color="auto"/>
      </w:divBdr>
    </w:div>
    <w:div w:id="1453934900">
      <w:bodyDiv w:val="1"/>
      <w:marLeft w:val="0"/>
      <w:marRight w:val="0"/>
      <w:marTop w:val="0"/>
      <w:marBottom w:val="0"/>
      <w:divBdr>
        <w:top w:val="none" w:sz="0" w:space="0" w:color="auto"/>
        <w:left w:val="none" w:sz="0" w:space="0" w:color="auto"/>
        <w:bottom w:val="none" w:sz="0" w:space="0" w:color="auto"/>
        <w:right w:val="none" w:sz="0" w:space="0" w:color="auto"/>
      </w:divBdr>
    </w:div>
    <w:div w:id="1683779365">
      <w:bodyDiv w:val="1"/>
      <w:marLeft w:val="0"/>
      <w:marRight w:val="0"/>
      <w:marTop w:val="0"/>
      <w:marBottom w:val="0"/>
      <w:divBdr>
        <w:top w:val="none" w:sz="0" w:space="0" w:color="auto"/>
        <w:left w:val="none" w:sz="0" w:space="0" w:color="auto"/>
        <w:bottom w:val="none" w:sz="0" w:space="0" w:color="auto"/>
        <w:right w:val="none" w:sz="0" w:space="0" w:color="auto"/>
      </w:divBdr>
      <w:divsChild>
        <w:div w:id="964776304">
          <w:marLeft w:val="0"/>
          <w:marRight w:val="0"/>
          <w:marTop w:val="0"/>
          <w:marBottom w:val="0"/>
          <w:divBdr>
            <w:top w:val="none" w:sz="0" w:space="0" w:color="auto"/>
            <w:left w:val="none" w:sz="0" w:space="0" w:color="auto"/>
            <w:bottom w:val="none" w:sz="0" w:space="0" w:color="auto"/>
            <w:right w:val="none" w:sz="0" w:space="0" w:color="auto"/>
          </w:divBdr>
        </w:div>
      </w:divsChild>
    </w:div>
    <w:div w:id="19380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da@f3c.cfdt.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semblee-nationale.fr/dyn/17/textes/l17b0873_texte-adopte-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france.gouv.fr/affichCodeArticle.do?cidTexte=LEGITEXT000006069414&amp;idArticle=LEGIARTI000006278874&amp;dateTexte=&amp;categorieLien=ci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codes/article_lc/LEGIARTI0000450352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20FE243811547BE4FABE36815E193" ma:contentTypeVersion="15" ma:contentTypeDescription="Crée un document." ma:contentTypeScope="" ma:versionID="4edf490727959e952aac7271b6d3326c">
  <xsd:schema xmlns:xsd="http://www.w3.org/2001/XMLSchema" xmlns:xs="http://www.w3.org/2001/XMLSchema" xmlns:p="http://schemas.microsoft.com/office/2006/metadata/properties" xmlns:ns2="08183922-8a1b-46f0-83f5-ae6b620f97ea" xmlns:ns3="6eab8609-cec6-4de9-9010-555fe7b3d8ee" targetNamespace="http://schemas.microsoft.com/office/2006/metadata/properties" ma:root="true" ma:fieldsID="3ca1b668540ac78fe25b62e22c97e14b" ns2:_="" ns3:_="">
    <xsd:import namespace="08183922-8a1b-46f0-83f5-ae6b620f97ea"/>
    <xsd:import namespace="6eab8609-cec6-4de9-9010-555fe7b3d8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83922-8a1b-46f0-83f5-ae6b620f97e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e4ba668-91e2-46ca-9982-4be20718e78a}" ma:internalName="TaxCatchAll" ma:showField="CatchAllData" ma:web="08183922-8a1b-46f0-83f5-ae6b620f97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ab8609-cec6-4de9-9010-555fe7b3d8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7e20540-2d27-4fd1-a39f-4a49f1153f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ab8609-cec6-4de9-9010-555fe7b3d8ee">
      <Terms xmlns="http://schemas.microsoft.com/office/infopath/2007/PartnerControls"/>
    </lcf76f155ced4ddcb4097134ff3c332f>
    <TaxCatchAll xmlns="08183922-8a1b-46f0-83f5-ae6b620f97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56B0-9195-4566-81C0-08F82B1712E7}">
  <ds:schemaRefs>
    <ds:schemaRef ds:uri="http://schemas.microsoft.com/sharepoint/v3/contenttype/forms"/>
  </ds:schemaRefs>
</ds:datastoreItem>
</file>

<file path=customXml/itemProps2.xml><?xml version="1.0" encoding="utf-8"?>
<ds:datastoreItem xmlns:ds="http://schemas.openxmlformats.org/officeDocument/2006/customXml" ds:itemID="{4753AD31-21F1-4B02-A242-407DB721A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83922-8a1b-46f0-83f5-ae6b620f97ea"/>
    <ds:schemaRef ds:uri="6eab8609-cec6-4de9-9010-555fe7b3d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CCFCF-DE4C-430D-BD43-A31920F38C80}">
  <ds:schemaRefs>
    <ds:schemaRef ds:uri="http://schemas.microsoft.com/office/2006/metadata/properties"/>
    <ds:schemaRef ds:uri="http://schemas.microsoft.com/office/infopath/2007/PartnerControls"/>
    <ds:schemaRef ds:uri="6eab8609-cec6-4de9-9010-555fe7b3d8ee"/>
    <ds:schemaRef ds:uri="08183922-8a1b-46f0-83f5-ae6b620f97ea"/>
  </ds:schemaRefs>
</ds:datastoreItem>
</file>

<file path=customXml/itemProps4.xml><?xml version="1.0" encoding="utf-8"?>
<ds:datastoreItem xmlns:ds="http://schemas.openxmlformats.org/officeDocument/2006/customXml" ds:itemID="{1C9C0165-8D78-40C7-8863-1DE70EE0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4873</Characters>
  <Application>Microsoft Office Word</Application>
  <DocSecurity>4</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BELLENGER</dc:creator>
  <cp:keywords/>
  <dc:description/>
  <cp:lastModifiedBy>Loïc VOLAT</cp:lastModifiedBy>
  <cp:revision>2</cp:revision>
  <dcterms:created xsi:type="dcterms:W3CDTF">2025-02-10T16:05:00Z</dcterms:created>
  <dcterms:modified xsi:type="dcterms:W3CDTF">2025-02-10T16:05:00Z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0x010100CA220FE243811547BE4FABE36815E193</vt:lpwstr>
  </property>
  <property fmtid="{D5CDD505-2E9C-101B-9397-08002B2CF9AE}" pid="3" name="MediaServiceImageTags">
    <vt:lpwstr/>
  </property>
</Properties>
</file>